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072"/>
      </w:tblGrid>
      <w:tr w:rsidR="00F71440" w14:paraId="08E00BCC" w14:textId="77777777" w:rsidTr="005B6886">
        <w:tc>
          <w:tcPr>
            <w:tcW w:w="2122" w:type="dxa"/>
          </w:tcPr>
          <w:p w14:paraId="27CCDA9F" w14:textId="77777777" w:rsidR="00F71440" w:rsidRDefault="00F71440" w:rsidP="005B6886">
            <w:r>
              <w:rPr>
                <w:noProof/>
              </w:rPr>
              <w:drawing>
                <wp:inline distT="0" distB="0" distL="0" distR="0" wp14:anchorId="16314CAE" wp14:editId="7C577232">
                  <wp:extent cx="964888" cy="1141874"/>
                  <wp:effectExtent l="0" t="0" r="6985" b="127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75368" cy="1154276"/>
                          </a:xfrm>
                          <a:prstGeom prst="rect">
                            <a:avLst/>
                          </a:prstGeom>
                        </pic:spPr>
                      </pic:pic>
                    </a:graphicData>
                  </a:graphic>
                </wp:inline>
              </w:drawing>
            </w:r>
          </w:p>
        </w:tc>
        <w:tc>
          <w:tcPr>
            <w:tcW w:w="8072" w:type="dxa"/>
          </w:tcPr>
          <w:p w14:paraId="78EBCB38" w14:textId="77777777" w:rsidR="00F71440" w:rsidRPr="00A67CE2" w:rsidRDefault="00F71440" w:rsidP="005B6886">
            <w:pPr>
              <w:spacing w:before="360"/>
              <w:jc w:val="center"/>
              <w:rPr>
                <w:b/>
                <w:bCs/>
                <w:caps/>
                <w:sz w:val="40"/>
                <w:szCs w:val="40"/>
              </w:rPr>
            </w:pPr>
            <w:r w:rsidRPr="00D8775B">
              <w:rPr>
                <w:b/>
                <w:bCs/>
                <w:caps/>
                <w:sz w:val="40"/>
                <w:szCs w:val="40"/>
              </w:rPr>
              <w:t>METHODE</w:t>
            </w:r>
            <w:r>
              <w:rPr>
                <w:b/>
                <w:bCs/>
                <w:caps/>
                <w:sz w:val="40"/>
                <w:szCs w:val="40"/>
              </w:rPr>
              <w:t xml:space="preserve"> </w:t>
            </w:r>
            <w:r w:rsidRPr="00D8775B">
              <w:rPr>
                <w:b/>
                <w:bCs/>
                <w:caps/>
                <w:sz w:val="40"/>
                <w:szCs w:val="40"/>
              </w:rPr>
              <w:t>QUALITE SANITAIRE ET ENERGETIQUE</w:t>
            </w:r>
            <w:r>
              <w:rPr>
                <w:b/>
                <w:bCs/>
                <w:caps/>
                <w:sz w:val="40"/>
                <w:szCs w:val="40"/>
              </w:rPr>
              <w:t xml:space="preserve"> </w:t>
            </w:r>
            <w:r w:rsidRPr="00D8775B">
              <w:rPr>
                <w:b/>
                <w:bCs/>
                <w:caps/>
                <w:sz w:val="40"/>
                <w:szCs w:val="40"/>
              </w:rPr>
              <w:t>DES RENOVATIONS</w:t>
            </w:r>
          </w:p>
        </w:tc>
      </w:tr>
    </w:tbl>
    <w:p w14:paraId="0B27E86D" w14:textId="77777777" w:rsidR="00CB5F64" w:rsidRDefault="00CB5F64" w:rsidP="00CB5F64">
      <w:pPr>
        <w:spacing w:before="360"/>
        <w:jc w:val="center"/>
        <w:rPr>
          <w:b/>
          <w:bCs/>
          <w:caps/>
          <w:sz w:val="40"/>
          <w:szCs w:val="40"/>
        </w:rPr>
      </w:pPr>
    </w:p>
    <w:p w14:paraId="198A183D" w14:textId="77777777" w:rsidR="00DA6F82" w:rsidRDefault="00DA6F82" w:rsidP="00CB5F64">
      <w:pPr>
        <w:spacing w:before="360"/>
        <w:jc w:val="center"/>
        <w:rPr>
          <w:b/>
          <w:bCs/>
          <w:caps/>
          <w:sz w:val="40"/>
          <w:szCs w:val="40"/>
        </w:rPr>
      </w:pPr>
    </w:p>
    <w:p w14:paraId="7D394EE0" w14:textId="745CAF80" w:rsidR="00AF6403" w:rsidRDefault="00FE42B0" w:rsidP="00CB5F64">
      <w:pPr>
        <w:spacing w:before="240"/>
        <w:jc w:val="center"/>
        <w:rPr>
          <w:b/>
          <w:bCs/>
          <w:caps/>
          <w:color w:val="538135" w:themeColor="accent6" w:themeShade="BF"/>
          <w:sz w:val="40"/>
          <w:szCs w:val="40"/>
        </w:rPr>
      </w:pPr>
      <w:r w:rsidRPr="6491022F">
        <w:rPr>
          <w:b/>
          <w:bCs/>
          <w:caps/>
          <w:color w:val="538135" w:themeColor="accent6" w:themeShade="BF"/>
          <w:sz w:val="40"/>
          <w:szCs w:val="40"/>
        </w:rPr>
        <w:t>C</w:t>
      </w:r>
      <w:r w:rsidR="7F7F4EE3" w:rsidRPr="6491022F">
        <w:rPr>
          <w:b/>
          <w:bCs/>
          <w:caps/>
          <w:color w:val="538135" w:themeColor="accent6" w:themeShade="BF"/>
          <w:sz w:val="40"/>
          <w:szCs w:val="40"/>
        </w:rPr>
        <w:t>ALCUL DE L’INDICE</w:t>
      </w:r>
      <w:r w:rsidRPr="6491022F">
        <w:rPr>
          <w:b/>
          <w:bCs/>
          <w:caps/>
          <w:color w:val="538135" w:themeColor="accent6" w:themeShade="BF"/>
          <w:sz w:val="40"/>
          <w:szCs w:val="40"/>
        </w:rPr>
        <w:t xml:space="preserve"> </w:t>
      </w:r>
    </w:p>
    <w:p w14:paraId="352B217B" w14:textId="77777777" w:rsidR="00AF6403" w:rsidRDefault="00FE42B0" w:rsidP="00CB5F64">
      <w:pPr>
        <w:spacing w:before="240"/>
        <w:jc w:val="center"/>
        <w:rPr>
          <w:b/>
          <w:bCs/>
          <w:caps/>
          <w:color w:val="538135" w:themeColor="accent6" w:themeShade="BF"/>
          <w:sz w:val="40"/>
          <w:szCs w:val="40"/>
        </w:rPr>
      </w:pPr>
      <w:r>
        <w:rPr>
          <w:b/>
          <w:bCs/>
          <w:caps/>
          <w:color w:val="538135" w:themeColor="accent6" w:themeShade="BF"/>
          <w:sz w:val="40"/>
          <w:szCs w:val="40"/>
        </w:rPr>
        <w:t>« Qualité de l’air intérieur</w:t>
      </w:r>
      <w:r w:rsidR="0032210A">
        <w:rPr>
          <w:b/>
          <w:bCs/>
          <w:caps/>
          <w:color w:val="538135" w:themeColor="accent6" w:themeShade="BF"/>
          <w:sz w:val="40"/>
          <w:szCs w:val="40"/>
        </w:rPr>
        <w:t xml:space="preserve"> » </w:t>
      </w:r>
    </w:p>
    <w:p w14:paraId="01C818E4" w14:textId="76075B6C" w:rsidR="00CB5F64" w:rsidRDefault="0032210A" w:rsidP="00CB5F64">
      <w:pPr>
        <w:spacing w:before="240"/>
        <w:jc w:val="center"/>
        <w:rPr>
          <w:b/>
          <w:bCs/>
          <w:caps/>
          <w:sz w:val="40"/>
          <w:szCs w:val="40"/>
        </w:rPr>
      </w:pPr>
      <w:r w:rsidRPr="6491022F">
        <w:rPr>
          <w:b/>
          <w:bCs/>
          <w:caps/>
          <w:color w:val="538135" w:themeColor="accent6" w:themeShade="BF"/>
          <w:sz w:val="40"/>
          <w:szCs w:val="40"/>
        </w:rPr>
        <w:t>de l’indic</w:t>
      </w:r>
      <w:r w:rsidR="09DC5085" w:rsidRPr="6491022F">
        <w:rPr>
          <w:b/>
          <w:bCs/>
          <w:caps/>
          <w:color w:val="538135" w:themeColor="accent6" w:themeShade="BF"/>
          <w:sz w:val="40"/>
          <w:szCs w:val="40"/>
        </w:rPr>
        <w:t>ateur</w:t>
      </w:r>
      <w:r w:rsidRPr="6491022F">
        <w:rPr>
          <w:b/>
          <w:bCs/>
          <w:caps/>
          <w:color w:val="538135" w:themeColor="accent6" w:themeShade="BF"/>
          <w:sz w:val="40"/>
          <w:szCs w:val="40"/>
        </w:rPr>
        <w:t xml:space="preserve"> de performance globale</w:t>
      </w:r>
    </w:p>
    <w:p w14:paraId="746F86F1" w14:textId="77777777" w:rsidR="00CB5F64" w:rsidRPr="007A7DA2" w:rsidRDefault="00CB5F64" w:rsidP="00CB5F64">
      <w:pPr>
        <w:spacing w:before="240"/>
        <w:jc w:val="center"/>
        <w:rPr>
          <w:sz w:val="38"/>
          <w:szCs w:val="36"/>
        </w:rPr>
      </w:pPr>
    </w:p>
    <w:p w14:paraId="7598BA85" w14:textId="6CA0DD63" w:rsidR="00CB5F64" w:rsidRDefault="00CB5F64" w:rsidP="00CB5F64">
      <w:pPr>
        <w:spacing w:before="240"/>
        <w:jc w:val="center"/>
        <w:rPr>
          <w:szCs w:val="22"/>
        </w:rPr>
      </w:pPr>
    </w:p>
    <w:p w14:paraId="67830978" w14:textId="290F3436" w:rsidR="00CB5F64" w:rsidRPr="00AF6403" w:rsidRDefault="00CB5F64" w:rsidP="00CB5F64">
      <w:pPr>
        <w:spacing w:before="240"/>
        <w:jc w:val="center"/>
        <w:rPr>
          <w:szCs w:val="22"/>
        </w:rPr>
      </w:pPr>
    </w:p>
    <w:p w14:paraId="4FE022C1" w14:textId="77777777" w:rsidR="0032210A" w:rsidRPr="00AF6403" w:rsidRDefault="0032210A" w:rsidP="00CB5F64">
      <w:pPr>
        <w:spacing w:before="240"/>
        <w:jc w:val="center"/>
        <w:rPr>
          <w:szCs w:val="22"/>
        </w:rPr>
      </w:pPr>
    </w:p>
    <w:p w14:paraId="7DEB232D" w14:textId="77777777" w:rsidR="0032210A" w:rsidRDefault="0032210A" w:rsidP="00CB5F64">
      <w:pPr>
        <w:spacing w:before="240"/>
        <w:jc w:val="center"/>
        <w:rPr>
          <w:szCs w:val="22"/>
        </w:rPr>
      </w:pPr>
    </w:p>
    <w:p w14:paraId="00B587E4" w14:textId="77777777" w:rsidR="008A0490" w:rsidRPr="00AF6403" w:rsidRDefault="008A0490" w:rsidP="00CB5F64">
      <w:pPr>
        <w:spacing w:before="240"/>
        <w:jc w:val="center"/>
        <w:rPr>
          <w:szCs w:val="22"/>
        </w:rPr>
      </w:pPr>
    </w:p>
    <w:p w14:paraId="70CF8CCC" w14:textId="77777777" w:rsidR="0032210A" w:rsidRPr="00AF6403" w:rsidRDefault="0032210A" w:rsidP="00CB5F64">
      <w:pPr>
        <w:spacing w:before="240"/>
        <w:jc w:val="center"/>
        <w:rPr>
          <w:szCs w:val="22"/>
        </w:rPr>
      </w:pPr>
    </w:p>
    <w:p w14:paraId="31BBF277" w14:textId="77777777" w:rsidR="0032210A" w:rsidRPr="00AF6403" w:rsidRDefault="0032210A" w:rsidP="00CB5F64">
      <w:pPr>
        <w:spacing w:before="240"/>
        <w:jc w:val="center"/>
        <w:rPr>
          <w:szCs w:val="22"/>
        </w:rPr>
      </w:pPr>
    </w:p>
    <w:p w14:paraId="5D4AD1A7" w14:textId="77777777" w:rsidR="0032210A" w:rsidRPr="00AF6403" w:rsidRDefault="0032210A" w:rsidP="00CB5F64">
      <w:pPr>
        <w:spacing w:before="240"/>
        <w:jc w:val="center"/>
        <w:rPr>
          <w:szCs w:val="22"/>
        </w:rPr>
      </w:pPr>
    </w:p>
    <w:p w14:paraId="680C7D59" w14:textId="77777777" w:rsidR="0032210A" w:rsidRPr="00AF6403" w:rsidRDefault="0032210A" w:rsidP="00CB5F64">
      <w:pPr>
        <w:spacing w:before="240"/>
        <w:jc w:val="center"/>
        <w:rPr>
          <w:szCs w:val="22"/>
        </w:rPr>
      </w:pPr>
    </w:p>
    <w:p w14:paraId="4752B982" w14:textId="4BA38B6A" w:rsidR="00CB5F64" w:rsidRPr="00AF6403" w:rsidRDefault="00CB5F64" w:rsidP="00CB5F64">
      <w:pPr>
        <w:spacing w:before="240"/>
        <w:jc w:val="center"/>
        <w:rPr>
          <w:szCs w:val="22"/>
        </w:rPr>
      </w:pPr>
    </w:p>
    <w:p w14:paraId="5C283D85" w14:textId="77777777" w:rsidR="00CB5F64" w:rsidRPr="00AF6403" w:rsidRDefault="00CB5F64" w:rsidP="00CB5F64">
      <w:pPr>
        <w:spacing w:before="240"/>
        <w:jc w:val="center"/>
        <w:rPr>
          <w:szCs w:val="22"/>
        </w:rPr>
      </w:pPr>
    </w:p>
    <w:p w14:paraId="013D739A" w14:textId="5E94E5E3" w:rsidR="00CD553B" w:rsidRDefault="00CD553B" w:rsidP="00CD553B">
      <w:pPr>
        <w:rPr>
          <w:rFonts w:cstheme="minorHAnsi"/>
        </w:rPr>
      </w:pPr>
      <w:r w:rsidRPr="00961205">
        <w:rPr>
          <w:rFonts w:cstheme="minorHAnsi"/>
        </w:rPr>
        <w:t xml:space="preserve">Date de </w:t>
      </w:r>
      <w:r>
        <w:rPr>
          <w:rFonts w:cstheme="minorHAnsi"/>
        </w:rPr>
        <w:t xml:space="preserve">création : </w:t>
      </w:r>
      <w:r w:rsidR="0032210A">
        <w:rPr>
          <w:rFonts w:cstheme="minorHAnsi"/>
        </w:rPr>
        <w:t>13</w:t>
      </w:r>
      <w:r>
        <w:rPr>
          <w:rFonts w:cstheme="minorHAnsi"/>
        </w:rPr>
        <w:t xml:space="preserve"> </w:t>
      </w:r>
      <w:r w:rsidR="0032210A">
        <w:rPr>
          <w:rFonts w:cstheme="minorHAnsi"/>
        </w:rPr>
        <w:t>octobre</w:t>
      </w:r>
      <w:r>
        <w:rPr>
          <w:rFonts w:cstheme="minorHAnsi"/>
        </w:rPr>
        <w:t xml:space="preserve"> 2022</w:t>
      </w:r>
    </w:p>
    <w:p w14:paraId="68B0807D" w14:textId="6D2B2AC8" w:rsidR="00CB5F64" w:rsidRPr="00961205" w:rsidRDefault="00CD553B" w:rsidP="497D8DF5">
      <w:pPr>
        <w:rPr>
          <w:rFonts w:cstheme="minorBidi"/>
        </w:rPr>
      </w:pPr>
      <w:r w:rsidRPr="497D8DF5">
        <w:rPr>
          <w:rFonts w:cstheme="minorBidi"/>
        </w:rPr>
        <w:t xml:space="preserve">Date de mise à jour : </w:t>
      </w:r>
      <w:r w:rsidR="0032210A" w:rsidRPr="497D8DF5">
        <w:rPr>
          <w:rFonts w:cstheme="minorBidi"/>
        </w:rPr>
        <w:t>1</w:t>
      </w:r>
      <w:r w:rsidR="5AA4C2E7" w:rsidRPr="497D8DF5">
        <w:rPr>
          <w:rFonts w:cstheme="minorBidi"/>
        </w:rPr>
        <w:t>7 novembre</w:t>
      </w:r>
      <w:r w:rsidRPr="497D8DF5">
        <w:rPr>
          <w:rFonts w:cstheme="minorBidi"/>
        </w:rPr>
        <w:t xml:space="preserve"> 2022</w:t>
      </w:r>
    </w:p>
    <w:p w14:paraId="563E17A5" w14:textId="197E83BF" w:rsidR="00CB5F64" w:rsidRPr="00961205" w:rsidRDefault="00CB5F64" w:rsidP="00CB5F64">
      <w:pPr>
        <w:rPr>
          <w:rFonts w:cstheme="minorHAnsi"/>
        </w:rPr>
      </w:pPr>
      <w:r w:rsidRPr="00961205">
        <w:rPr>
          <w:rFonts w:cstheme="minorHAnsi"/>
        </w:rPr>
        <w:t xml:space="preserve">Référence </w:t>
      </w:r>
      <w:r w:rsidRPr="00025299">
        <w:rPr>
          <w:rFonts w:cstheme="minorHAnsi"/>
        </w:rPr>
        <w:t>CSTB/</w:t>
      </w:r>
      <w:r w:rsidR="00054B7C" w:rsidRPr="00054B7C">
        <w:t xml:space="preserve"> </w:t>
      </w:r>
      <w:r w:rsidR="00054B7C" w:rsidRPr="00D44967">
        <w:rPr>
          <w:rFonts w:cstheme="minorHAnsi"/>
        </w:rPr>
        <w:t>SC-QEI-2022-1</w:t>
      </w:r>
      <w:r w:rsidR="00D44967" w:rsidRPr="00D44967">
        <w:rPr>
          <w:rFonts w:cstheme="minorHAnsi"/>
        </w:rPr>
        <w:t>97</w:t>
      </w:r>
    </w:p>
    <w:p w14:paraId="271E05C9" w14:textId="3F399217" w:rsidR="00CB5F64" w:rsidRPr="00E920D8" w:rsidRDefault="00CB5F64" w:rsidP="00CB5F64">
      <w:pPr>
        <w:rPr>
          <w:rFonts w:cstheme="minorHAnsi"/>
        </w:rPr>
      </w:pPr>
      <w:r w:rsidRPr="00E920D8">
        <w:rPr>
          <w:rFonts w:cstheme="minorHAnsi"/>
        </w:rPr>
        <w:t xml:space="preserve">Nom du fichier : </w:t>
      </w:r>
      <w:r w:rsidRPr="00E920D8">
        <w:rPr>
          <w:rFonts w:cstheme="minorHAnsi"/>
        </w:rPr>
        <w:fldChar w:fldCharType="begin"/>
      </w:r>
      <w:r w:rsidRPr="00E920D8">
        <w:rPr>
          <w:rFonts w:cstheme="minorHAnsi"/>
        </w:rPr>
        <w:instrText xml:space="preserve"> FILENAME </w:instrText>
      </w:r>
      <w:r w:rsidRPr="00E920D8">
        <w:rPr>
          <w:rFonts w:cstheme="minorHAnsi"/>
        </w:rPr>
        <w:fldChar w:fldCharType="separate"/>
      </w:r>
      <w:r w:rsidR="0097158E">
        <w:rPr>
          <w:rFonts w:cstheme="minorHAnsi"/>
          <w:noProof/>
        </w:rPr>
        <w:t>QSE_calcul_indice_QAI_V1.docx</w:t>
      </w:r>
      <w:r w:rsidRPr="00E920D8">
        <w:rPr>
          <w:rFonts w:cstheme="minorHAnsi"/>
        </w:rPr>
        <w:fldChar w:fldCharType="end"/>
      </w:r>
    </w:p>
    <w:p w14:paraId="5D60BE66" w14:textId="3B9AC9A3" w:rsidR="00D40B90" w:rsidRPr="007A7DA2" w:rsidRDefault="00D37E63" w:rsidP="008A0490">
      <w:pPr>
        <w:tabs>
          <w:tab w:val="left" w:pos="1747"/>
        </w:tabs>
      </w:pPr>
      <w:r w:rsidRPr="00961205">
        <w:rPr>
          <w:rFonts w:cstheme="minorHAnsi"/>
        </w:rPr>
        <w:t>Document confidentiel</w:t>
      </w:r>
      <w:r>
        <w:rPr>
          <w:rFonts w:cstheme="minorHAnsi"/>
        </w:rPr>
        <w:t xml:space="preserve"> à l’usage exclusif des utilisateurs de la méthode QSE</w:t>
      </w:r>
    </w:p>
    <w:p w14:paraId="6375443E" w14:textId="77777777" w:rsidR="00D40B90" w:rsidRPr="007A7DA2" w:rsidRDefault="00D40B90" w:rsidP="00CB5F64">
      <w:pPr>
        <w:pStyle w:val="Retraitcorpsdetexte2"/>
        <w:ind w:left="0"/>
        <w:sectPr w:rsidR="00D40B90" w:rsidRPr="007A7DA2" w:rsidSect="0034496D">
          <w:pgSz w:w="11906" w:h="16838" w:code="9"/>
          <w:pgMar w:top="851" w:right="851" w:bottom="284" w:left="851" w:header="567" w:footer="567" w:gutter="0"/>
          <w:cols w:space="720"/>
        </w:sectPr>
      </w:pPr>
    </w:p>
    <w:p w14:paraId="21E6D538" w14:textId="77777777" w:rsidR="0004690C" w:rsidRPr="007A7DA2" w:rsidRDefault="0004690C" w:rsidP="0095570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CB5F64" w:rsidRPr="007A7DA2" w14:paraId="589727A1" w14:textId="77777777" w:rsidTr="00FA4190">
        <w:trPr>
          <w:trHeight w:val="582"/>
        </w:trPr>
        <w:tc>
          <w:tcPr>
            <w:tcW w:w="9464" w:type="dxa"/>
          </w:tcPr>
          <w:p w14:paraId="339E3D01" w14:textId="77777777" w:rsidR="00CB5F64" w:rsidRPr="007A7DA2" w:rsidRDefault="00CB5F64" w:rsidP="00FA4190">
            <w:pPr>
              <w:pStyle w:val="Retraitcorpsdetexte2"/>
              <w:tabs>
                <w:tab w:val="right" w:pos="9072"/>
              </w:tabs>
              <w:spacing w:before="240"/>
              <w:ind w:left="0"/>
              <w:rPr>
                <w:b/>
                <w:bCs/>
                <w:sz w:val="20"/>
                <w:szCs w:val="20"/>
              </w:rPr>
            </w:pPr>
            <w:r w:rsidRPr="007A7DA2">
              <w:rPr>
                <w:b/>
                <w:bCs/>
                <w:sz w:val="20"/>
                <w:szCs w:val="20"/>
              </w:rPr>
              <w:t>LISTE DES CHAPITRES</w:t>
            </w:r>
            <w:r w:rsidRPr="007A7DA2">
              <w:rPr>
                <w:b/>
                <w:bCs/>
                <w:sz w:val="20"/>
                <w:szCs w:val="20"/>
              </w:rPr>
              <w:tab/>
              <w:t>N° de page</w:t>
            </w:r>
          </w:p>
        </w:tc>
      </w:tr>
      <w:tr w:rsidR="00CB5F64" w:rsidRPr="00481009" w14:paraId="114B7DEA" w14:textId="77777777" w:rsidTr="00FA4190">
        <w:trPr>
          <w:trHeight w:val="3370"/>
        </w:trPr>
        <w:tc>
          <w:tcPr>
            <w:tcW w:w="9464" w:type="dxa"/>
          </w:tcPr>
          <w:p w14:paraId="6170BB4C" w14:textId="455B28B4" w:rsidR="008974CD" w:rsidRDefault="00CB5F64">
            <w:pPr>
              <w:pStyle w:val="TM1"/>
              <w:rPr>
                <w:rFonts w:asciiTheme="minorHAnsi" w:eastAsiaTheme="minorEastAsia" w:hAnsiTheme="minorHAnsi" w:cstheme="minorBidi"/>
                <w:b w:val="0"/>
                <w:bCs w:val="0"/>
                <w:caps w:val="0"/>
                <w:noProof/>
                <w:szCs w:val="22"/>
              </w:rPr>
            </w:pPr>
            <w:r w:rsidRPr="00481009">
              <w:rPr>
                <w:rFonts w:cs="Calibri"/>
                <w:sz w:val="20"/>
                <w:szCs w:val="20"/>
              </w:rPr>
              <w:fldChar w:fldCharType="begin"/>
            </w:r>
            <w:r w:rsidRPr="00481009">
              <w:rPr>
                <w:rFonts w:cs="Calibri"/>
                <w:sz w:val="20"/>
                <w:szCs w:val="20"/>
              </w:rPr>
              <w:instrText xml:space="preserve"> TOC \o "1-3" \h \z \u </w:instrText>
            </w:r>
            <w:r w:rsidRPr="00481009">
              <w:rPr>
                <w:rFonts w:cs="Calibri"/>
                <w:sz w:val="20"/>
                <w:szCs w:val="20"/>
              </w:rPr>
              <w:fldChar w:fldCharType="separate"/>
            </w:r>
            <w:hyperlink w:anchor="_Toc119641567" w:history="1">
              <w:r w:rsidR="008974CD" w:rsidRPr="000541F3">
                <w:rPr>
                  <w:rStyle w:val="Lienhypertexte"/>
                  <w:noProof/>
                </w:rPr>
                <w:t>1- Objet</w:t>
              </w:r>
              <w:r w:rsidR="008974CD">
                <w:rPr>
                  <w:noProof/>
                  <w:webHidden/>
                </w:rPr>
                <w:tab/>
              </w:r>
              <w:r w:rsidR="008974CD">
                <w:rPr>
                  <w:noProof/>
                  <w:webHidden/>
                </w:rPr>
                <w:fldChar w:fldCharType="begin"/>
              </w:r>
              <w:r w:rsidR="008974CD">
                <w:rPr>
                  <w:noProof/>
                  <w:webHidden/>
                </w:rPr>
                <w:instrText xml:space="preserve"> PAGEREF _Toc119641567 \h </w:instrText>
              </w:r>
              <w:r w:rsidR="008974CD">
                <w:rPr>
                  <w:noProof/>
                  <w:webHidden/>
                </w:rPr>
              </w:r>
              <w:r w:rsidR="008974CD">
                <w:rPr>
                  <w:noProof/>
                  <w:webHidden/>
                </w:rPr>
                <w:fldChar w:fldCharType="separate"/>
              </w:r>
              <w:r w:rsidR="008974CD">
                <w:rPr>
                  <w:noProof/>
                  <w:webHidden/>
                </w:rPr>
                <w:t>3</w:t>
              </w:r>
              <w:r w:rsidR="008974CD">
                <w:rPr>
                  <w:noProof/>
                  <w:webHidden/>
                </w:rPr>
                <w:fldChar w:fldCharType="end"/>
              </w:r>
            </w:hyperlink>
          </w:p>
          <w:p w14:paraId="3CCE4CAB" w14:textId="050B9049" w:rsidR="008974CD" w:rsidRDefault="0097158E">
            <w:pPr>
              <w:pStyle w:val="TM1"/>
              <w:rPr>
                <w:rFonts w:asciiTheme="minorHAnsi" w:eastAsiaTheme="minorEastAsia" w:hAnsiTheme="minorHAnsi" w:cstheme="minorBidi"/>
                <w:b w:val="0"/>
                <w:bCs w:val="0"/>
                <w:caps w:val="0"/>
                <w:noProof/>
                <w:szCs w:val="22"/>
              </w:rPr>
            </w:pPr>
            <w:hyperlink w:anchor="_Toc119641568" w:history="1">
              <w:r w:rsidR="008974CD" w:rsidRPr="000541F3">
                <w:rPr>
                  <w:rStyle w:val="Lienhypertexte"/>
                  <w:noProof/>
                </w:rPr>
                <w:t>2- Elements de méthode</w:t>
              </w:r>
              <w:r w:rsidR="008974CD">
                <w:rPr>
                  <w:noProof/>
                  <w:webHidden/>
                </w:rPr>
                <w:tab/>
              </w:r>
              <w:r w:rsidR="008974CD">
                <w:rPr>
                  <w:noProof/>
                  <w:webHidden/>
                </w:rPr>
                <w:fldChar w:fldCharType="begin"/>
              </w:r>
              <w:r w:rsidR="008974CD">
                <w:rPr>
                  <w:noProof/>
                  <w:webHidden/>
                </w:rPr>
                <w:instrText xml:space="preserve"> PAGEREF _Toc119641568 \h </w:instrText>
              </w:r>
              <w:r w:rsidR="008974CD">
                <w:rPr>
                  <w:noProof/>
                  <w:webHidden/>
                </w:rPr>
              </w:r>
              <w:r w:rsidR="008974CD">
                <w:rPr>
                  <w:noProof/>
                  <w:webHidden/>
                </w:rPr>
                <w:fldChar w:fldCharType="separate"/>
              </w:r>
              <w:r w:rsidR="008974CD">
                <w:rPr>
                  <w:noProof/>
                  <w:webHidden/>
                </w:rPr>
                <w:t>3</w:t>
              </w:r>
              <w:r w:rsidR="008974CD">
                <w:rPr>
                  <w:noProof/>
                  <w:webHidden/>
                </w:rPr>
                <w:fldChar w:fldCharType="end"/>
              </w:r>
            </w:hyperlink>
          </w:p>
          <w:p w14:paraId="516011D7" w14:textId="44B46867" w:rsidR="008974CD" w:rsidRDefault="0097158E">
            <w:pPr>
              <w:pStyle w:val="TM2"/>
              <w:tabs>
                <w:tab w:val="right" w:leader="dot" w:pos="9060"/>
              </w:tabs>
              <w:rPr>
                <w:rFonts w:asciiTheme="minorHAnsi" w:eastAsiaTheme="minorEastAsia" w:hAnsiTheme="minorHAnsi" w:cstheme="minorBidi"/>
                <w:iCs w:val="0"/>
                <w:noProof/>
                <w:sz w:val="22"/>
                <w:szCs w:val="22"/>
              </w:rPr>
            </w:pPr>
            <w:hyperlink w:anchor="_Toc119641569" w:history="1">
              <w:r w:rsidR="008974CD" w:rsidRPr="000541F3">
                <w:rPr>
                  <w:rStyle w:val="Lienhypertexte"/>
                  <w:noProof/>
                </w:rPr>
                <w:t>2.1- Détermination du critère CO</w:t>
              </w:r>
              <w:r w:rsidR="008974CD" w:rsidRPr="000541F3">
                <w:rPr>
                  <w:rStyle w:val="Lienhypertexte"/>
                  <w:noProof/>
                  <w:vertAlign w:val="subscript"/>
                </w:rPr>
                <w:t>2</w:t>
              </w:r>
              <w:r w:rsidR="008974CD">
                <w:rPr>
                  <w:noProof/>
                  <w:webHidden/>
                </w:rPr>
                <w:tab/>
              </w:r>
              <w:r w:rsidR="008974CD">
                <w:rPr>
                  <w:noProof/>
                  <w:webHidden/>
                </w:rPr>
                <w:fldChar w:fldCharType="begin"/>
              </w:r>
              <w:r w:rsidR="008974CD">
                <w:rPr>
                  <w:noProof/>
                  <w:webHidden/>
                </w:rPr>
                <w:instrText xml:space="preserve"> PAGEREF _Toc119641569 \h </w:instrText>
              </w:r>
              <w:r w:rsidR="008974CD">
                <w:rPr>
                  <w:noProof/>
                  <w:webHidden/>
                </w:rPr>
              </w:r>
              <w:r w:rsidR="008974CD">
                <w:rPr>
                  <w:noProof/>
                  <w:webHidden/>
                </w:rPr>
                <w:fldChar w:fldCharType="separate"/>
              </w:r>
              <w:r w:rsidR="008974CD">
                <w:rPr>
                  <w:noProof/>
                  <w:webHidden/>
                </w:rPr>
                <w:t>4</w:t>
              </w:r>
              <w:r w:rsidR="008974CD">
                <w:rPr>
                  <w:noProof/>
                  <w:webHidden/>
                </w:rPr>
                <w:fldChar w:fldCharType="end"/>
              </w:r>
            </w:hyperlink>
          </w:p>
          <w:p w14:paraId="6D993726" w14:textId="045BC639" w:rsidR="008974CD" w:rsidRDefault="0097158E">
            <w:pPr>
              <w:pStyle w:val="TM2"/>
              <w:tabs>
                <w:tab w:val="right" w:leader="dot" w:pos="9060"/>
              </w:tabs>
              <w:rPr>
                <w:rFonts w:asciiTheme="minorHAnsi" w:eastAsiaTheme="minorEastAsia" w:hAnsiTheme="minorHAnsi" w:cstheme="minorBidi"/>
                <w:iCs w:val="0"/>
                <w:noProof/>
                <w:sz w:val="22"/>
                <w:szCs w:val="22"/>
              </w:rPr>
            </w:pPr>
            <w:hyperlink w:anchor="_Toc119641570" w:history="1">
              <w:r w:rsidR="008974CD" w:rsidRPr="000541F3">
                <w:rPr>
                  <w:rStyle w:val="Lienhypertexte"/>
                  <w:noProof/>
                </w:rPr>
                <w:t>2.2- Détermination du critère Formaldéhyde</w:t>
              </w:r>
              <w:r w:rsidR="008974CD">
                <w:rPr>
                  <w:noProof/>
                  <w:webHidden/>
                </w:rPr>
                <w:tab/>
              </w:r>
              <w:r w:rsidR="008974CD">
                <w:rPr>
                  <w:noProof/>
                  <w:webHidden/>
                </w:rPr>
                <w:fldChar w:fldCharType="begin"/>
              </w:r>
              <w:r w:rsidR="008974CD">
                <w:rPr>
                  <w:noProof/>
                  <w:webHidden/>
                </w:rPr>
                <w:instrText xml:space="preserve"> PAGEREF _Toc119641570 \h </w:instrText>
              </w:r>
              <w:r w:rsidR="008974CD">
                <w:rPr>
                  <w:noProof/>
                  <w:webHidden/>
                </w:rPr>
              </w:r>
              <w:r w:rsidR="008974CD">
                <w:rPr>
                  <w:noProof/>
                  <w:webHidden/>
                </w:rPr>
                <w:fldChar w:fldCharType="separate"/>
              </w:r>
              <w:r w:rsidR="008974CD">
                <w:rPr>
                  <w:noProof/>
                  <w:webHidden/>
                </w:rPr>
                <w:t>5</w:t>
              </w:r>
              <w:r w:rsidR="008974CD">
                <w:rPr>
                  <w:noProof/>
                  <w:webHidden/>
                </w:rPr>
                <w:fldChar w:fldCharType="end"/>
              </w:r>
            </w:hyperlink>
          </w:p>
          <w:p w14:paraId="29E5A90A" w14:textId="0DA1BB4D" w:rsidR="008974CD" w:rsidRDefault="0097158E">
            <w:pPr>
              <w:pStyle w:val="TM2"/>
              <w:tabs>
                <w:tab w:val="right" w:leader="dot" w:pos="9060"/>
              </w:tabs>
              <w:rPr>
                <w:rFonts w:asciiTheme="minorHAnsi" w:eastAsiaTheme="minorEastAsia" w:hAnsiTheme="minorHAnsi" w:cstheme="minorBidi"/>
                <w:iCs w:val="0"/>
                <w:noProof/>
                <w:sz w:val="22"/>
                <w:szCs w:val="22"/>
              </w:rPr>
            </w:pPr>
            <w:hyperlink w:anchor="_Toc119641571" w:history="1">
              <w:r w:rsidR="008974CD" w:rsidRPr="000541F3">
                <w:rPr>
                  <w:rStyle w:val="Lienhypertexte"/>
                  <w:noProof/>
                </w:rPr>
                <w:t>2.3- Détermination du critère Dioxyde d’azote</w:t>
              </w:r>
              <w:r w:rsidR="008974CD">
                <w:rPr>
                  <w:noProof/>
                  <w:webHidden/>
                </w:rPr>
                <w:tab/>
              </w:r>
              <w:r w:rsidR="008974CD">
                <w:rPr>
                  <w:noProof/>
                  <w:webHidden/>
                </w:rPr>
                <w:fldChar w:fldCharType="begin"/>
              </w:r>
              <w:r w:rsidR="008974CD">
                <w:rPr>
                  <w:noProof/>
                  <w:webHidden/>
                </w:rPr>
                <w:instrText xml:space="preserve"> PAGEREF _Toc119641571 \h </w:instrText>
              </w:r>
              <w:r w:rsidR="008974CD">
                <w:rPr>
                  <w:noProof/>
                  <w:webHidden/>
                </w:rPr>
              </w:r>
              <w:r w:rsidR="008974CD">
                <w:rPr>
                  <w:noProof/>
                  <w:webHidden/>
                </w:rPr>
                <w:fldChar w:fldCharType="separate"/>
              </w:r>
              <w:r w:rsidR="008974CD">
                <w:rPr>
                  <w:noProof/>
                  <w:webHidden/>
                </w:rPr>
                <w:t>5</w:t>
              </w:r>
              <w:r w:rsidR="008974CD">
                <w:rPr>
                  <w:noProof/>
                  <w:webHidden/>
                </w:rPr>
                <w:fldChar w:fldCharType="end"/>
              </w:r>
            </w:hyperlink>
          </w:p>
          <w:p w14:paraId="6A929E66" w14:textId="45EC60B0" w:rsidR="008974CD" w:rsidRDefault="0097158E">
            <w:pPr>
              <w:pStyle w:val="TM2"/>
              <w:tabs>
                <w:tab w:val="right" w:leader="dot" w:pos="9060"/>
              </w:tabs>
              <w:rPr>
                <w:rFonts w:asciiTheme="minorHAnsi" w:eastAsiaTheme="minorEastAsia" w:hAnsiTheme="minorHAnsi" w:cstheme="minorBidi"/>
                <w:iCs w:val="0"/>
                <w:noProof/>
                <w:sz w:val="22"/>
                <w:szCs w:val="22"/>
              </w:rPr>
            </w:pPr>
            <w:hyperlink w:anchor="_Toc119641572" w:history="1">
              <w:r w:rsidR="008974CD" w:rsidRPr="000541F3">
                <w:rPr>
                  <w:rStyle w:val="Lienhypertexte"/>
                  <w:noProof/>
                </w:rPr>
                <w:t>2.4- Détermination du critère PM</w:t>
              </w:r>
              <w:r w:rsidR="008974CD" w:rsidRPr="000541F3">
                <w:rPr>
                  <w:rStyle w:val="Lienhypertexte"/>
                  <w:noProof/>
                  <w:vertAlign w:val="subscript"/>
                </w:rPr>
                <w:t>2,5</w:t>
              </w:r>
              <w:r w:rsidR="008974CD">
                <w:rPr>
                  <w:noProof/>
                  <w:webHidden/>
                </w:rPr>
                <w:tab/>
              </w:r>
              <w:r w:rsidR="008974CD">
                <w:rPr>
                  <w:noProof/>
                  <w:webHidden/>
                </w:rPr>
                <w:fldChar w:fldCharType="begin"/>
              </w:r>
              <w:r w:rsidR="008974CD">
                <w:rPr>
                  <w:noProof/>
                  <w:webHidden/>
                </w:rPr>
                <w:instrText xml:space="preserve"> PAGEREF _Toc119641572 \h </w:instrText>
              </w:r>
              <w:r w:rsidR="008974CD">
                <w:rPr>
                  <w:noProof/>
                  <w:webHidden/>
                </w:rPr>
              </w:r>
              <w:r w:rsidR="008974CD">
                <w:rPr>
                  <w:noProof/>
                  <w:webHidden/>
                </w:rPr>
                <w:fldChar w:fldCharType="separate"/>
              </w:r>
              <w:r w:rsidR="008974CD">
                <w:rPr>
                  <w:noProof/>
                  <w:webHidden/>
                </w:rPr>
                <w:t>6</w:t>
              </w:r>
              <w:r w:rsidR="008974CD">
                <w:rPr>
                  <w:noProof/>
                  <w:webHidden/>
                </w:rPr>
                <w:fldChar w:fldCharType="end"/>
              </w:r>
            </w:hyperlink>
          </w:p>
          <w:p w14:paraId="15D3B0FC" w14:textId="2E5A0277" w:rsidR="008974CD" w:rsidRDefault="0097158E">
            <w:pPr>
              <w:pStyle w:val="TM2"/>
              <w:tabs>
                <w:tab w:val="right" w:leader="dot" w:pos="9060"/>
              </w:tabs>
              <w:rPr>
                <w:rFonts w:asciiTheme="minorHAnsi" w:eastAsiaTheme="minorEastAsia" w:hAnsiTheme="minorHAnsi" w:cstheme="minorBidi"/>
                <w:iCs w:val="0"/>
                <w:noProof/>
                <w:sz w:val="22"/>
                <w:szCs w:val="22"/>
              </w:rPr>
            </w:pPr>
            <w:hyperlink w:anchor="_Toc119641573" w:history="1">
              <w:r w:rsidR="008974CD" w:rsidRPr="000541F3">
                <w:rPr>
                  <w:rStyle w:val="Lienhypertexte"/>
                  <w:noProof/>
                </w:rPr>
                <w:t>2.5- Détermination du critère Radon</w:t>
              </w:r>
              <w:r w:rsidR="008974CD">
                <w:rPr>
                  <w:noProof/>
                  <w:webHidden/>
                </w:rPr>
                <w:tab/>
              </w:r>
              <w:r w:rsidR="008974CD">
                <w:rPr>
                  <w:noProof/>
                  <w:webHidden/>
                </w:rPr>
                <w:fldChar w:fldCharType="begin"/>
              </w:r>
              <w:r w:rsidR="008974CD">
                <w:rPr>
                  <w:noProof/>
                  <w:webHidden/>
                </w:rPr>
                <w:instrText xml:space="preserve"> PAGEREF _Toc119641573 \h </w:instrText>
              </w:r>
              <w:r w:rsidR="008974CD">
                <w:rPr>
                  <w:noProof/>
                  <w:webHidden/>
                </w:rPr>
              </w:r>
              <w:r w:rsidR="008974CD">
                <w:rPr>
                  <w:noProof/>
                  <w:webHidden/>
                </w:rPr>
                <w:fldChar w:fldCharType="separate"/>
              </w:r>
              <w:r w:rsidR="008974CD">
                <w:rPr>
                  <w:noProof/>
                  <w:webHidden/>
                </w:rPr>
                <w:t>6</w:t>
              </w:r>
              <w:r w:rsidR="008974CD">
                <w:rPr>
                  <w:noProof/>
                  <w:webHidden/>
                </w:rPr>
                <w:fldChar w:fldCharType="end"/>
              </w:r>
            </w:hyperlink>
          </w:p>
          <w:p w14:paraId="753965AC" w14:textId="401DA42D" w:rsidR="008974CD" w:rsidRDefault="0097158E">
            <w:pPr>
              <w:pStyle w:val="TM1"/>
              <w:rPr>
                <w:rFonts w:asciiTheme="minorHAnsi" w:eastAsiaTheme="minorEastAsia" w:hAnsiTheme="minorHAnsi" w:cstheme="minorBidi"/>
                <w:b w:val="0"/>
                <w:bCs w:val="0"/>
                <w:caps w:val="0"/>
                <w:noProof/>
                <w:szCs w:val="22"/>
              </w:rPr>
            </w:pPr>
            <w:hyperlink w:anchor="_Toc119641574" w:history="1">
              <w:r w:rsidR="008974CD" w:rsidRPr="000541F3">
                <w:rPr>
                  <w:rStyle w:val="Lienhypertexte"/>
                  <w:noProof/>
                </w:rPr>
                <w:t>3- Bibliographie</w:t>
              </w:r>
              <w:r w:rsidR="008974CD">
                <w:rPr>
                  <w:noProof/>
                  <w:webHidden/>
                </w:rPr>
                <w:tab/>
              </w:r>
              <w:r w:rsidR="008974CD">
                <w:rPr>
                  <w:noProof/>
                  <w:webHidden/>
                </w:rPr>
                <w:fldChar w:fldCharType="begin"/>
              </w:r>
              <w:r w:rsidR="008974CD">
                <w:rPr>
                  <w:noProof/>
                  <w:webHidden/>
                </w:rPr>
                <w:instrText xml:space="preserve"> PAGEREF _Toc119641574 \h </w:instrText>
              </w:r>
              <w:r w:rsidR="008974CD">
                <w:rPr>
                  <w:noProof/>
                  <w:webHidden/>
                </w:rPr>
              </w:r>
              <w:r w:rsidR="008974CD">
                <w:rPr>
                  <w:noProof/>
                  <w:webHidden/>
                </w:rPr>
                <w:fldChar w:fldCharType="separate"/>
              </w:r>
              <w:r w:rsidR="008974CD">
                <w:rPr>
                  <w:noProof/>
                  <w:webHidden/>
                </w:rPr>
                <w:t>7</w:t>
              </w:r>
              <w:r w:rsidR="008974CD">
                <w:rPr>
                  <w:noProof/>
                  <w:webHidden/>
                </w:rPr>
                <w:fldChar w:fldCharType="end"/>
              </w:r>
            </w:hyperlink>
          </w:p>
          <w:p w14:paraId="6B901390" w14:textId="35FE652E" w:rsidR="00CB5F64" w:rsidRPr="00481009" w:rsidRDefault="00CB5F64" w:rsidP="00FA4190">
            <w:pPr>
              <w:pStyle w:val="Retraitcorpsdetexte2"/>
              <w:tabs>
                <w:tab w:val="right" w:pos="9072"/>
              </w:tabs>
              <w:spacing w:before="100" w:beforeAutospacing="1"/>
              <w:ind w:left="0"/>
              <w:outlineLvl w:val="1"/>
              <w:rPr>
                <w:rFonts w:cs="Calibri"/>
                <w:b/>
                <w:bCs/>
                <w:sz w:val="10"/>
                <w:szCs w:val="10"/>
              </w:rPr>
            </w:pPr>
            <w:r w:rsidRPr="00481009">
              <w:rPr>
                <w:rFonts w:cs="Calibri"/>
                <w:caps/>
                <w:sz w:val="20"/>
                <w:szCs w:val="20"/>
              </w:rPr>
              <w:fldChar w:fldCharType="end"/>
            </w:r>
          </w:p>
        </w:tc>
      </w:tr>
    </w:tbl>
    <w:p w14:paraId="62743241" w14:textId="77777777" w:rsidR="00857300" w:rsidRDefault="00857300" w:rsidP="00955702"/>
    <w:p w14:paraId="45ABE1B5" w14:textId="77777777" w:rsidR="00CB5F64" w:rsidRDefault="00CB5F64" w:rsidP="00955702"/>
    <w:p w14:paraId="6213FB58" w14:textId="77777777" w:rsidR="00CB5F64" w:rsidRDefault="00CB5F64" w:rsidP="00955702"/>
    <w:p w14:paraId="79773F33" w14:textId="6DFEC68D" w:rsidR="00CB5F64" w:rsidRPr="007A7DA2" w:rsidRDefault="00CB5F64" w:rsidP="00955702">
      <w:pPr>
        <w:sectPr w:rsidR="00CB5F64" w:rsidRPr="007A7DA2" w:rsidSect="00202D44">
          <w:headerReference w:type="default" r:id="rId12"/>
          <w:footerReference w:type="default" r:id="rId13"/>
          <w:pgSz w:w="11906" w:h="16838" w:code="9"/>
          <w:pgMar w:top="851" w:right="1418" w:bottom="567" w:left="1418" w:header="567" w:footer="567" w:gutter="0"/>
          <w:cols w:space="720"/>
        </w:sectPr>
      </w:pPr>
    </w:p>
    <w:p w14:paraId="6EC090CB" w14:textId="6E83EE17" w:rsidR="002D0200" w:rsidRPr="00D9170E" w:rsidRDefault="00057613" w:rsidP="00FE7C99">
      <w:pPr>
        <w:pStyle w:val="Titre1"/>
      </w:pPr>
      <w:bookmarkStart w:id="0" w:name="_Ref116660205"/>
      <w:bookmarkStart w:id="1" w:name="_Ref116660211"/>
      <w:bookmarkStart w:id="2" w:name="_Toc119641567"/>
      <w:r w:rsidRPr="00D9170E">
        <w:lastRenderedPageBreak/>
        <w:t>Objet</w:t>
      </w:r>
      <w:bookmarkEnd w:id="0"/>
      <w:bookmarkEnd w:id="1"/>
      <w:bookmarkEnd w:id="2"/>
    </w:p>
    <w:p w14:paraId="526FC8C8" w14:textId="19B1BF5B" w:rsidR="00D46076" w:rsidRDefault="00D46076" w:rsidP="00955702">
      <w:pPr>
        <w:rPr>
          <w:rStyle w:val="Numrodepage"/>
        </w:rPr>
      </w:pPr>
      <w:r w:rsidRPr="007A7DA2">
        <w:rPr>
          <w:rStyle w:val="Numrodepage"/>
        </w:rPr>
        <w:t xml:space="preserve">Le présent document définit la procédure </w:t>
      </w:r>
      <w:r w:rsidR="00890487">
        <w:rPr>
          <w:rStyle w:val="Numrodepage"/>
        </w:rPr>
        <w:t xml:space="preserve">permettant de </w:t>
      </w:r>
      <w:r w:rsidR="00BB7C50">
        <w:rPr>
          <w:rStyle w:val="Numrodepage"/>
        </w:rPr>
        <w:t>calculer</w:t>
      </w:r>
      <w:r w:rsidR="0032210A">
        <w:rPr>
          <w:rStyle w:val="Numrodepage"/>
        </w:rPr>
        <w:t xml:space="preserve"> </w:t>
      </w:r>
      <w:r w:rsidR="00D3448E">
        <w:rPr>
          <w:rStyle w:val="Numrodepage"/>
        </w:rPr>
        <w:t>l</w:t>
      </w:r>
      <w:r w:rsidR="00274CDC">
        <w:rPr>
          <w:rStyle w:val="Numrodepage"/>
        </w:rPr>
        <w:t>’i</w:t>
      </w:r>
      <w:r w:rsidR="00D3448E">
        <w:rPr>
          <w:rStyle w:val="Numrodepage"/>
        </w:rPr>
        <w:t>ndice de la qualité de l’air intérieur</w:t>
      </w:r>
      <w:r w:rsidR="00E5493B">
        <w:rPr>
          <w:rStyle w:val="Numrodepage"/>
        </w:rPr>
        <w:t xml:space="preserve"> (QAI)</w:t>
      </w:r>
      <w:r w:rsidR="005E485C">
        <w:rPr>
          <w:rStyle w:val="Numrodepage"/>
        </w:rPr>
        <w:t xml:space="preserve"> </w:t>
      </w:r>
      <w:r w:rsidR="00274CDC">
        <w:rPr>
          <w:rStyle w:val="Numrodepage"/>
        </w:rPr>
        <w:t xml:space="preserve">(hors </w:t>
      </w:r>
      <w:proofErr w:type="gramStart"/>
      <w:r w:rsidR="00274CDC">
        <w:rPr>
          <w:rStyle w:val="Numrodepage"/>
        </w:rPr>
        <w:t>risque potentiel</w:t>
      </w:r>
      <w:proofErr w:type="gramEnd"/>
      <w:r w:rsidR="00274CDC">
        <w:rPr>
          <w:rStyle w:val="Numrodepage"/>
        </w:rPr>
        <w:t xml:space="preserve"> de développement fongique) </w:t>
      </w:r>
      <w:r w:rsidR="005E485C">
        <w:rPr>
          <w:rStyle w:val="Numrodepage"/>
        </w:rPr>
        <w:t>à partir des mesures réalisé</w:t>
      </w:r>
      <w:r w:rsidR="008974CD">
        <w:rPr>
          <w:rStyle w:val="Numrodepage"/>
        </w:rPr>
        <w:t>e</w:t>
      </w:r>
      <w:r w:rsidR="005E485C">
        <w:rPr>
          <w:rStyle w:val="Numrodepage"/>
        </w:rPr>
        <w:t>s par les deux appareils proposés dans la cadre de la méthode QSE (</w:t>
      </w:r>
      <w:proofErr w:type="spellStart"/>
      <w:r w:rsidR="005E485C">
        <w:rPr>
          <w:rStyle w:val="Numrodepage"/>
        </w:rPr>
        <w:t>NEMo</w:t>
      </w:r>
      <w:proofErr w:type="spellEnd"/>
      <w:r w:rsidR="005E485C">
        <w:rPr>
          <w:rStyle w:val="Numrodepage"/>
        </w:rPr>
        <w:t xml:space="preserve"> et AIRVISUAL)</w:t>
      </w:r>
      <w:r>
        <w:rPr>
          <w:rStyle w:val="Numrodepage"/>
        </w:rPr>
        <w:t>.</w:t>
      </w:r>
    </w:p>
    <w:p w14:paraId="0F7F7552" w14:textId="77777777" w:rsidR="00AF6403" w:rsidRDefault="00AF6403" w:rsidP="00955702">
      <w:pPr>
        <w:rPr>
          <w:rStyle w:val="Numrodepage"/>
        </w:rPr>
      </w:pPr>
    </w:p>
    <w:p w14:paraId="26B7E16A" w14:textId="7956F65C" w:rsidR="00C56CDF" w:rsidRPr="00D9170E" w:rsidRDefault="0073753F" w:rsidP="00C56CDF">
      <w:pPr>
        <w:pStyle w:val="Titre1"/>
      </w:pPr>
      <w:bookmarkStart w:id="3" w:name="_Toc119641568"/>
      <w:r>
        <w:t>Elements de méthode</w:t>
      </w:r>
      <w:bookmarkEnd w:id="3"/>
    </w:p>
    <w:p w14:paraId="2EB8F71A" w14:textId="6FFE8B46" w:rsidR="00E5493B" w:rsidRPr="00E5493B" w:rsidRDefault="00E5493B" w:rsidP="00E5493B">
      <w:r w:rsidRPr="00E5493B">
        <w:t>Dans le cadre du calcul d</w:t>
      </w:r>
      <w:r w:rsidR="008E2F5C">
        <w:t>e l’</w:t>
      </w:r>
      <w:r w:rsidRPr="00E5493B">
        <w:t>indice QAI, une comparaison des</w:t>
      </w:r>
      <w:r>
        <w:t xml:space="preserve"> </w:t>
      </w:r>
      <w:r w:rsidRPr="00E5493B">
        <w:t>mesures in situ des paramètres de QAI est réalisée par rapport à des seuils/valeurs de référence actuellement en vigueur (valeurs réglementaires, valeurs sanitaires, valeurs de gestion)</w:t>
      </w:r>
      <w:r>
        <w:t>.</w:t>
      </w:r>
    </w:p>
    <w:p w14:paraId="3219C9AD" w14:textId="64724D88" w:rsidR="00E0173F" w:rsidRDefault="00AB6BB2" w:rsidP="00FE7C99">
      <w:r>
        <w:t xml:space="preserve">Les mesures sont effectuées </w:t>
      </w:r>
      <w:r w:rsidRPr="00AB6BB2">
        <w:t>en continu au moyen de capteurs communicants</w:t>
      </w:r>
      <w:r>
        <w:t>.</w:t>
      </w:r>
      <w:r w:rsidR="00BC5CAE">
        <w:t xml:space="preserve"> Ils sont posés selon différentes stratégies :</w:t>
      </w:r>
    </w:p>
    <w:p w14:paraId="77736182" w14:textId="77777777" w:rsidR="002B0460" w:rsidRDefault="002B0460" w:rsidP="00664F8B">
      <w:pPr>
        <w:pStyle w:val="Paragraphedeliste"/>
        <w:numPr>
          <w:ilvl w:val="0"/>
          <w:numId w:val="17"/>
        </w:numPr>
      </w:pPr>
      <w:r>
        <w:t>Dans les logements :</w:t>
      </w:r>
    </w:p>
    <w:p w14:paraId="5CAB373E" w14:textId="7D038CB0" w:rsidR="00AB6BB2" w:rsidRDefault="00AB6BB2" w:rsidP="002B0460">
      <w:pPr>
        <w:pStyle w:val="Paragraphedeliste"/>
        <w:numPr>
          <w:ilvl w:val="1"/>
          <w:numId w:val="17"/>
        </w:numPr>
      </w:pPr>
      <w:r w:rsidRPr="00AB6BB2">
        <w:t xml:space="preserve">Maison individuelle : </w:t>
      </w:r>
      <w:r w:rsidR="005E485C">
        <w:t>1</w:t>
      </w:r>
      <w:r w:rsidRPr="00AB6BB2">
        <w:t xml:space="preserve"> pièce de mesure (</w:t>
      </w:r>
      <w:r w:rsidR="002B0460">
        <w:t xml:space="preserve">la </w:t>
      </w:r>
      <w:r w:rsidRPr="00AB6BB2">
        <w:t>chambre)</w:t>
      </w:r>
      <w:r w:rsidR="002B0460">
        <w:t> ;</w:t>
      </w:r>
    </w:p>
    <w:p w14:paraId="2F732C40" w14:textId="121B9430" w:rsidR="00AB6BB2" w:rsidRPr="00AB6BB2" w:rsidRDefault="00AB6BB2" w:rsidP="002B0460">
      <w:pPr>
        <w:pStyle w:val="Paragraphedeliste"/>
        <w:numPr>
          <w:ilvl w:val="1"/>
          <w:numId w:val="17"/>
        </w:numPr>
      </w:pPr>
      <w:r w:rsidRPr="00AB6BB2">
        <w:t>Logement collectif</w:t>
      </w:r>
      <w:r w:rsidR="002B0460">
        <w:t xml:space="preserve"> </w:t>
      </w:r>
      <w:r w:rsidRPr="00AB6BB2">
        <w:t xml:space="preserve">: 3 logements enquêtés </w:t>
      </w:r>
      <w:r w:rsidR="002B0460">
        <w:t xml:space="preserve">par immeuble et dans chacun </w:t>
      </w:r>
      <w:r w:rsidR="005E485C">
        <w:t>1</w:t>
      </w:r>
      <w:r w:rsidRPr="00AB6BB2">
        <w:t xml:space="preserve"> pièce de mesure (</w:t>
      </w:r>
      <w:r w:rsidR="002B0460">
        <w:t xml:space="preserve">la </w:t>
      </w:r>
      <w:r w:rsidRPr="00AB6BB2">
        <w:t>chambre)</w:t>
      </w:r>
      <w:r w:rsidR="002B0460">
        <w:t> ;</w:t>
      </w:r>
    </w:p>
    <w:p w14:paraId="22EF92AF" w14:textId="14B10653" w:rsidR="002B0460" w:rsidRDefault="002B0460" w:rsidP="00664F8B">
      <w:pPr>
        <w:pStyle w:val="Paragraphedeliste"/>
        <w:numPr>
          <w:ilvl w:val="0"/>
          <w:numId w:val="17"/>
        </w:numPr>
      </w:pPr>
      <w:r>
        <w:t>Dans les b</w:t>
      </w:r>
      <w:r w:rsidRPr="00AB6BB2">
        <w:t>âtiments</w:t>
      </w:r>
      <w:r w:rsidR="00AB6BB2" w:rsidRPr="00AB6BB2">
        <w:t xml:space="preserve"> à usage d’école :</w:t>
      </w:r>
    </w:p>
    <w:p w14:paraId="70756E36" w14:textId="5EF9C2DB" w:rsidR="00AB6BB2" w:rsidRPr="00AB6BB2" w:rsidRDefault="00AB6BB2" w:rsidP="002B0460">
      <w:pPr>
        <w:pStyle w:val="Paragraphedeliste"/>
        <w:numPr>
          <w:ilvl w:val="1"/>
          <w:numId w:val="17"/>
        </w:numPr>
      </w:pPr>
      <w:r w:rsidRPr="00AB6BB2">
        <w:t>3 salles de classe enquêté</w:t>
      </w:r>
      <w:r w:rsidR="002B0460">
        <w:t>e</w:t>
      </w:r>
      <w:r w:rsidRPr="00AB6BB2">
        <w:t>s</w:t>
      </w:r>
      <w:r w:rsidR="002B0460">
        <w:t> ;</w:t>
      </w:r>
    </w:p>
    <w:p w14:paraId="03C4AEF1" w14:textId="2B780528" w:rsidR="002B0460" w:rsidRDefault="002B0460" w:rsidP="00664F8B">
      <w:pPr>
        <w:pStyle w:val="Paragraphedeliste"/>
        <w:numPr>
          <w:ilvl w:val="0"/>
          <w:numId w:val="17"/>
        </w:numPr>
      </w:pPr>
      <w:r>
        <w:t>Dans les b</w:t>
      </w:r>
      <w:r w:rsidR="00AB6BB2" w:rsidRPr="00AB6BB2">
        <w:t>âtiment</w:t>
      </w:r>
      <w:r>
        <w:t>s</w:t>
      </w:r>
      <w:r w:rsidR="00AB6BB2" w:rsidRPr="00AB6BB2">
        <w:t xml:space="preserve"> à usage de bureau :</w:t>
      </w:r>
    </w:p>
    <w:p w14:paraId="6411FB16" w14:textId="309AE51B" w:rsidR="00AB6BB2" w:rsidRDefault="00AB6BB2" w:rsidP="002B0460">
      <w:pPr>
        <w:pStyle w:val="Paragraphedeliste"/>
        <w:numPr>
          <w:ilvl w:val="1"/>
          <w:numId w:val="17"/>
        </w:numPr>
      </w:pPr>
      <w:r w:rsidRPr="00AB6BB2">
        <w:t>3 espaces de bureau enquêtés</w:t>
      </w:r>
      <w:r w:rsidR="002B0460">
        <w:t>.</w:t>
      </w:r>
    </w:p>
    <w:p w14:paraId="0CEEA195" w14:textId="5764BFC7" w:rsidR="00162A22" w:rsidRDefault="00610FC2" w:rsidP="002B0460">
      <w:r>
        <w:t>L</w:t>
      </w:r>
      <w:r w:rsidR="008E2F5C">
        <w:t>’</w:t>
      </w:r>
      <w:r>
        <w:t xml:space="preserve">indice QAI </w:t>
      </w:r>
      <w:r w:rsidR="00162A22">
        <w:t xml:space="preserve">est construit </w:t>
      </w:r>
      <w:r w:rsidR="00CA6A95">
        <w:t>sur le respect de seuil</w:t>
      </w:r>
      <w:r w:rsidR="00D93724">
        <w:t>s/valeurs de référence de 5 polluants chimiques : le</w:t>
      </w:r>
      <w:r w:rsidR="00D05674">
        <w:t xml:space="preserve"> dioxyde de carbone (</w:t>
      </w:r>
      <w:r w:rsidR="00D93724">
        <w:t>CO</w:t>
      </w:r>
      <w:r w:rsidR="00D93724" w:rsidRPr="00D05674">
        <w:rPr>
          <w:vertAlign w:val="subscript"/>
        </w:rPr>
        <w:t>2</w:t>
      </w:r>
      <w:r w:rsidR="00D05674">
        <w:t>)</w:t>
      </w:r>
      <w:r w:rsidR="00D93724">
        <w:t xml:space="preserve">, le formaldéhyde, </w:t>
      </w:r>
      <w:r w:rsidR="00D05674">
        <w:t>le dioxyde d’azote (NO</w:t>
      </w:r>
      <w:r w:rsidR="00D05674" w:rsidRPr="00D05674">
        <w:rPr>
          <w:vertAlign w:val="subscript"/>
        </w:rPr>
        <w:t>2</w:t>
      </w:r>
      <w:r w:rsidR="00D05674">
        <w:t>), les particules fines (</w:t>
      </w:r>
      <w:r w:rsidR="0096599F">
        <w:t>P</w:t>
      </w:r>
      <w:r w:rsidR="00D05674">
        <w:t>M</w:t>
      </w:r>
      <w:r w:rsidR="00D05674" w:rsidRPr="0096599F">
        <w:rPr>
          <w:vertAlign w:val="subscript"/>
        </w:rPr>
        <w:t>2</w:t>
      </w:r>
      <w:r w:rsidR="0096599F" w:rsidRPr="0096599F">
        <w:rPr>
          <w:vertAlign w:val="subscript"/>
        </w:rPr>
        <w:t>,</w:t>
      </w:r>
      <w:r w:rsidR="00D05674" w:rsidRPr="0096599F">
        <w:rPr>
          <w:vertAlign w:val="subscript"/>
        </w:rPr>
        <w:t>5</w:t>
      </w:r>
      <w:r w:rsidR="0096599F">
        <w:t>)</w:t>
      </w:r>
      <w:r w:rsidR="00D05674">
        <w:t xml:space="preserve"> et le radon.</w:t>
      </w:r>
      <w:r w:rsidR="00692C1A">
        <w:t xml:space="preserve"> Si les mesures effectuées se situent en dessous du seuil</w:t>
      </w:r>
      <w:r w:rsidR="00DC1F45">
        <w:t xml:space="preserve"> de référence</w:t>
      </w:r>
      <w:r w:rsidR="00692C1A">
        <w:t>, l</w:t>
      </w:r>
      <w:r w:rsidR="00A47105">
        <w:t>’indice</w:t>
      </w:r>
      <w:r w:rsidR="00692C1A">
        <w:t xml:space="preserve"> est qualifié de « bon »</w:t>
      </w:r>
      <w:r w:rsidR="004D1EEF">
        <w:t xml:space="preserve"> et dans le cas contraire de « mauvais ». L’association de l’</w:t>
      </w:r>
      <w:r w:rsidR="008F6ABC">
        <w:t>ensemble</w:t>
      </w:r>
      <w:r w:rsidR="004D1EEF">
        <w:t xml:space="preserve"> des 5 critères permet de qualifier </w:t>
      </w:r>
      <w:r w:rsidR="008F6ABC">
        <w:t>l</w:t>
      </w:r>
      <w:r w:rsidR="00A47105">
        <w:t>’</w:t>
      </w:r>
      <w:r w:rsidR="008F6ABC">
        <w:t xml:space="preserve">indice final de la QAI, comme présenté dans le </w:t>
      </w:r>
      <w:r w:rsidR="008F6ABC">
        <w:fldChar w:fldCharType="begin"/>
      </w:r>
      <w:r w:rsidR="008F6ABC">
        <w:instrText xml:space="preserve"> REF _Ref116572979 \h </w:instrText>
      </w:r>
      <w:r w:rsidR="008F6ABC">
        <w:fldChar w:fldCharType="separate"/>
      </w:r>
      <w:r w:rsidR="009D178F">
        <w:t xml:space="preserve">Tableau </w:t>
      </w:r>
      <w:r w:rsidR="009D178F">
        <w:rPr>
          <w:noProof/>
        </w:rPr>
        <w:t>1</w:t>
      </w:r>
      <w:r w:rsidR="008F6ABC">
        <w:fldChar w:fldCharType="end"/>
      </w:r>
      <w:r w:rsidR="008F6ABC">
        <w:t>.</w:t>
      </w:r>
      <w:r w:rsidR="0084175A">
        <w:t xml:space="preserve"> </w:t>
      </w:r>
      <w:r w:rsidR="0031070C">
        <w:t xml:space="preserve">Si le suivi </w:t>
      </w:r>
      <w:r w:rsidR="00CE01E5">
        <w:t>de la QAI e</w:t>
      </w:r>
      <w:r w:rsidR="004C4B6E">
        <w:t xml:space="preserve">st poussé (utilisation de l’appareil </w:t>
      </w:r>
      <w:proofErr w:type="spellStart"/>
      <w:r w:rsidR="004C4B6E">
        <w:t>NEMo</w:t>
      </w:r>
      <w:proofErr w:type="spellEnd"/>
      <w:r w:rsidR="004C4B6E">
        <w:t xml:space="preserve"> </w:t>
      </w:r>
      <w:r w:rsidR="0031070C">
        <w:t>permettant de mesurer le formaldéhyde et le dioxyde d’azote</w:t>
      </w:r>
      <w:r w:rsidR="004C4B6E">
        <w:t>)</w:t>
      </w:r>
      <w:r w:rsidR="00A84CF0">
        <w:t>, l’indice est bien élaboré avec les 5 critères</w:t>
      </w:r>
      <w:r w:rsidR="00D54FD0">
        <w:t xml:space="preserve"> cités ci-dessus,</w:t>
      </w:r>
      <w:r w:rsidR="00A84CF0">
        <w:t xml:space="preserve"> dans le cas contraire </w:t>
      </w:r>
      <w:r w:rsidR="008D77AB">
        <w:t xml:space="preserve">(suivi de base avec l’appareil AIRVISUAL), </w:t>
      </w:r>
      <w:r w:rsidR="00A84CF0">
        <w:t>l’indice sera basé sur seulement 3 critères (</w:t>
      </w:r>
      <w:r w:rsidR="00813CD9">
        <w:t>CO</w:t>
      </w:r>
      <w:r w:rsidR="00813CD9" w:rsidRPr="00813CD9">
        <w:rPr>
          <w:vertAlign w:val="subscript"/>
        </w:rPr>
        <w:t>2</w:t>
      </w:r>
      <w:r w:rsidR="00813CD9">
        <w:t>, PM</w:t>
      </w:r>
      <w:r w:rsidR="00813CD9" w:rsidRPr="00813CD9">
        <w:rPr>
          <w:vertAlign w:val="subscript"/>
        </w:rPr>
        <w:t>2,5</w:t>
      </w:r>
      <w:r w:rsidR="00813CD9">
        <w:t xml:space="preserve"> et radon)</w:t>
      </w:r>
      <w:r w:rsidR="00A84CF0">
        <w:t>.</w:t>
      </w:r>
    </w:p>
    <w:p w14:paraId="0BB01EA0" w14:textId="064B0E85" w:rsidR="005620C0" w:rsidRDefault="00A63296" w:rsidP="002B0460">
      <w:r>
        <w:t>L</w:t>
      </w:r>
      <w:r w:rsidR="00191522">
        <w:t>’</w:t>
      </w:r>
      <w:r>
        <w:t>indice QAI qualifie la QAI au niveau du bâtiment</w:t>
      </w:r>
      <w:r w:rsidR="00FC3A8B">
        <w:t>/logement</w:t>
      </w:r>
      <w:r>
        <w:t xml:space="preserve"> c’est pourquoi</w:t>
      </w:r>
      <w:r w:rsidR="00DC3920">
        <w:t>, compte tenu des différentes mesures effectué</w:t>
      </w:r>
      <w:r w:rsidR="00604F75">
        <w:t>es dans différente</w:t>
      </w:r>
      <w:r w:rsidR="00FC3A8B">
        <w:t>s</w:t>
      </w:r>
      <w:r w:rsidR="00604F75">
        <w:t xml:space="preserve"> pièces</w:t>
      </w:r>
      <w:r w:rsidR="003B02E2">
        <w:t xml:space="preserve"> et types de bâtiments</w:t>
      </w:r>
      <w:r w:rsidR="00604F75">
        <w:t xml:space="preserve">, des choix méthodologiques ont été arrêtés. </w:t>
      </w:r>
      <w:r w:rsidR="00D11F39">
        <w:t>Pour les immeubles de logements, l</w:t>
      </w:r>
      <w:r w:rsidR="00191522">
        <w:t>’</w:t>
      </w:r>
      <w:r w:rsidR="00D11F39">
        <w:t xml:space="preserve">indice est calculé </w:t>
      </w:r>
      <w:r w:rsidR="00C50756">
        <w:t>pour</w:t>
      </w:r>
      <w:r w:rsidR="00D11F39">
        <w:t xml:space="preserve"> chaque logement</w:t>
      </w:r>
      <w:r w:rsidR="00C50756">
        <w:t xml:space="preserve">, pas au niveau du bâtiment. </w:t>
      </w:r>
      <w:r w:rsidR="003B02E2">
        <w:t>En revanche,</w:t>
      </w:r>
      <w:r w:rsidR="0069773D">
        <w:t xml:space="preserve"> l</w:t>
      </w:r>
      <w:r w:rsidR="00191522">
        <w:t>’</w:t>
      </w:r>
      <w:r w:rsidR="0069773D">
        <w:t>indice est estimé au niveau du bâtiment pour les immeuble</w:t>
      </w:r>
      <w:r w:rsidR="003B02E2">
        <w:t>s</w:t>
      </w:r>
      <w:r w:rsidR="0069773D">
        <w:t xml:space="preserve"> de bureaux ou les bâtiments à usage d’école</w:t>
      </w:r>
      <w:r w:rsidR="003B02E2">
        <w:t>.</w:t>
      </w:r>
    </w:p>
    <w:p w14:paraId="0A733114" w14:textId="69A8024B" w:rsidR="00FC3A8B" w:rsidRDefault="003A0E62" w:rsidP="002B0460">
      <w:r>
        <w:t>La dernière décision méthodologique concern</w:t>
      </w:r>
      <w:r w:rsidR="00CD24D0">
        <w:t>e</w:t>
      </w:r>
      <w:r>
        <w:t xml:space="preserve"> la </w:t>
      </w:r>
      <w:r w:rsidR="00CD24D0">
        <w:t xml:space="preserve">non </w:t>
      </w:r>
      <w:r>
        <w:t>prise en compte de</w:t>
      </w:r>
      <w:r w:rsidR="00CD24D0">
        <w:t xml:space="preserve"> l’intégralité de</w:t>
      </w:r>
      <w:r>
        <w:t xml:space="preserve"> la série de mesure</w:t>
      </w:r>
      <w:r w:rsidR="00CD24D0">
        <w:t>s</w:t>
      </w:r>
      <w:r>
        <w:t xml:space="preserve"> par capteur</w:t>
      </w:r>
      <w:r w:rsidR="00CD24D0">
        <w:t>. En effet</w:t>
      </w:r>
      <w:r w:rsidR="00DC1F45">
        <w:t>,</w:t>
      </w:r>
      <w:r w:rsidR="00CD24D0">
        <w:t xml:space="preserve"> certains capteurs </w:t>
      </w:r>
      <w:r w:rsidR="00DC1F45">
        <w:t>nécessitent</w:t>
      </w:r>
      <w:r w:rsidR="004243B9">
        <w:t xml:space="preserve"> un temps de chauffe</w:t>
      </w:r>
      <w:r w:rsidR="00DC1F45">
        <w:t xml:space="preserve"> ou de </w:t>
      </w:r>
      <w:r w:rsidR="00E2715D">
        <w:t>mise à niveau</w:t>
      </w:r>
      <w:r w:rsidR="004243B9">
        <w:t xml:space="preserve"> pour mesurer correctement la concentration des polluants dans l’air. Les mesures réalisées dans les premières minutes ou heures ne reflète</w:t>
      </w:r>
      <w:r w:rsidR="005D3EEB">
        <w:t>nt donc</w:t>
      </w:r>
      <w:r w:rsidR="004243B9">
        <w:t xml:space="preserve"> pas la concentration réelle dans l’air</w:t>
      </w:r>
      <w:r w:rsidR="00E2715D">
        <w:t xml:space="preserve">. Il a </w:t>
      </w:r>
      <w:r w:rsidR="005D3EEB">
        <w:t>alors</w:t>
      </w:r>
      <w:r w:rsidR="00E2715D">
        <w:t xml:space="preserve"> été décid</w:t>
      </w:r>
      <w:r w:rsidR="005D3EEB">
        <w:t>é</w:t>
      </w:r>
      <w:r w:rsidR="00E2715D">
        <w:t xml:space="preserve"> de ne pas tenir compte des 3 premières heures de mesures</w:t>
      </w:r>
      <w:r w:rsidR="005D3EEB">
        <w:t xml:space="preserve"> pour effectuer le calcul du </w:t>
      </w:r>
      <w:r w:rsidR="00191522">
        <w:t>l’</w:t>
      </w:r>
      <w:r w:rsidR="005D3EEB">
        <w:t>indice</w:t>
      </w:r>
      <w:r w:rsidR="00E2715D">
        <w:t>.</w:t>
      </w:r>
    </w:p>
    <w:p w14:paraId="3ADBC977" w14:textId="1CCCC023" w:rsidR="00AF6403" w:rsidRDefault="00AF6403">
      <w:pPr>
        <w:jc w:val="left"/>
      </w:pPr>
      <w:r>
        <w:br w:type="page"/>
      </w:r>
    </w:p>
    <w:p w14:paraId="16DBE617" w14:textId="007D9CDA" w:rsidR="008F6ABC" w:rsidRDefault="008F6ABC" w:rsidP="008F6ABC">
      <w:pPr>
        <w:pStyle w:val="Lgende"/>
      </w:pPr>
      <w:bookmarkStart w:id="4" w:name="_Ref116572979"/>
      <w:r>
        <w:lastRenderedPageBreak/>
        <w:t xml:space="preserve">Tableau </w:t>
      </w:r>
      <w:r>
        <w:fldChar w:fldCharType="begin"/>
      </w:r>
      <w:r>
        <w:instrText>SEQ Tableau \* ARABIC</w:instrText>
      </w:r>
      <w:r>
        <w:fldChar w:fldCharType="separate"/>
      </w:r>
      <w:r w:rsidR="009D178F">
        <w:rPr>
          <w:noProof/>
        </w:rPr>
        <w:t>1</w:t>
      </w:r>
      <w:r>
        <w:fldChar w:fldCharType="end"/>
      </w:r>
      <w:bookmarkEnd w:id="4"/>
      <w:r>
        <w:t xml:space="preserve"> : Elaboration du </w:t>
      </w:r>
      <w:r w:rsidR="00191522">
        <w:t>l’</w:t>
      </w:r>
      <w:r>
        <w:t>indice QAI</w:t>
      </w:r>
    </w:p>
    <w:tbl>
      <w:tblPr>
        <w:tblW w:w="5000" w:type="pct"/>
        <w:tblCellMar>
          <w:left w:w="0" w:type="dxa"/>
          <w:right w:w="0" w:type="dxa"/>
        </w:tblCellMar>
        <w:tblLook w:val="0420" w:firstRow="1" w:lastRow="0" w:firstColumn="0" w:lastColumn="0" w:noHBand="0" w:noVBand="1"/>
      </w:tblPr>
      <w:tblGrid>
        <w:gridCol w:w="1347"/>
        <w:gridCol w:w="1731"/>
        <w:gridCol w:w="1347"/>
        <w:gridCol w:w="1348"/>
        <w:gridCol w:w="294"/>
        <w:gridCol w:w="1532"/>
        <w:gridCol w:w="294"/>
        <w:gridCol w:w="1157"/>
      </w:tblGrid>
      <w:tr w:rsidR="005B70AA" w:rsidRPr="005B70AA" w14:paraId="0A327140" w14:textId="77777777" w:rsidTr="00375250">
        <w:trPr>
          <w:trHeight w:val="584"/>
        </w:trPr>
        <w:tc>
          <w:tcPr>
            <w:tcW w:w="783"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72082653" w14:textId="77777777" w:rsidR="005B70AA" w:rsidRPr="00151848" w:rsidRDefault="005B70AA" w:rsidP="00151848">
            <w:pPr>
              <w:pStyle w:val="tabgauchegras"/>
            </w:pPr>
            <w:r w:rsidRPr="00151848">
              <w:t>Critère CO</w:t>
            </w:r>
            <w:r w:rsidRPr="007B3783">
              <w:rPr>
                <w:vertAlign w:val="subscript"/>
              </w:rPr>
              <w:t>2</w:t>
            </w:r>
          </w:p>
        </w:tc>
        <w:tc>
          <w:tcPr>
            <w:tcW w:w="783"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3DB321E2" w14:textId="77777777" w:rsidR="005B70AA" w:rsidRPr="0056065B" w:rsidRDefault="005B70AA" w:rsidP="00151848">
            <w:pPr>
              <w:pStyle w:val="tabgauchegras"/>
            </w:pPr>
            <w:r w:rsidRPr="0056065B">
              <w:t>Critère formaldéhyde</w:t>
            </w:r>
          </w:p>
        </w:tc>
        <w:tc>
          <w:tcPr>
            <w:tcW w:w="783"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1C27ABF4" w14:textId="77777777" w:rsidR="005B70AA" w:rsidRPr="0056065B" w:rsidRDefault="005B70AA" w:rsidP="00151848">
            <w:pPr>
              <w:pStyle w:val="tabgauchegras"/>
            </w:pPr>
            <w:r w:rsidRPr="0056065B">
              <w:t>Critère NO</w:t>
            </w:r>
            <w:r w:rsidRPr="007B3783">
              <w:rPr>
                <w:vertAlign w:val="subscript"/>
              </w:rPr>
              <w:t>2</w:t>
            </w:r>
          </w:p>
        </w:tc>
        <w:tc>
          <w:tcPr>
            <w:tcW w:w="783"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38FC62BE" w14:textId="77777777" w:rsidR="005B70AA" w:rsidRPr="0056065B" w:rsidRDefault="005B70AA" w:rsidP="00151848">
            <w:pPr>
              <w:pStyle w:val="tabgauchegras"/>
            </w:pPr>
            <w:r w:rsidRPr="0056065B">
              <w:t>Critère PM</w:t>
            </w:r>
            <w:r w:rsidRPr="007B3783">
              <w:rPr>
                <w:vertAlign w:val="subscript"/>
              </w:rPr>
              <w:t>2,5</w:t>
            </w:r>
          </w:p>
        </w:tc>
        <w:tc>
          <w:tcPr>
            <w:tcW w:w="170"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4564E838" w14:textId="77777777" w:rsidR="005B70AA" w:rsidRPr="005B70AA" w:rsidRDefault="005B70AA" w:rsidP="005B70AA"/>
        </w:tc>
        <w:tc>
          <w:tcPr>
            <w:tcW w:w="907"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4B2D73FA" w14:textId="77777777" w:rsidR="005B70AA" w:rsidRPr="005B70AA" w:rsidRDefault="005B70AA" w:rsidP="005B70AA">
            <w:r w:rsidRPr="005B70AA">
              <w:rPr>
                <w:b/>
                <w:bCs/>
              </w:rPr>
              <w:t>Critère Radon</w:t>
            </w:r>
          </w:p>
        </w:tc>
        <w:tc>
          <w:tcPr>
            <w:tcW w:w="150" w:type="pct"/>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vAlign w:val="center"/>
            <w:hideMark/>
          </w:tcPr>
          <w:p w14:paraId="29C70A2D" w14:textId="77777777" w:rsidR="005B70AA" w:rsidRPr="005B70AA" w:rsidRDefault="005B70AA" w:rsidP="005B70AA"/>
        </w:tc>
        <w:tc>
          <w:tcPr>
            <w:tcW w:w="640" w:type="pct"/>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53DE1758" w14:textId="77777777" w:rsidR="005B70AA" w:rsidRPr="005B70AA" w:rsidRDefault="005B70AA" w:rsidP="009D1964">
            <w:pPr>
              <w:pStyle w:val="tabcentregras"/>
            </w:pPr>
            <w:r w:rsidRPr="005B70AA">
              <w:t>Indice QAI</w:t>
            </w:r>
          </w:p>
        </w:tc>
      </w:tr>
      <w:tr w:rsidR="005B70AA" w:rsidRPr="005B70AA" w14:paraId="5C400CBE" w14:textId="77777777" w:rsidTr="00375250">
        <w:trPr>
          <w:trHeight w:val="510"/>
        </w:trPr>
        <w:tc>
          <w:tcPr>
            <w:tcW w:w="783" w:type="pct"/>
            <w:tcBorders>
              <w:top w:val="single" w:sz="24" w:space="0" w:color="FFFFFF"/>
              <w:left w:val="single" w:sz="8" w:space="0" w:color="FFFFFF"/>
              <w:bottom w:val="single" w:sz="8" w:space="0" w:color="FFFFFF"/>
              <w:right w:val="single" w:sz="8" w:space="0" w:color="FFFFFF"/>
            </w:tcBorders>
            <w:shd w:val="clear" w:color="auto" w:fill="AFEBAF"/>
            <w:tcMar>
              <w:top w:w="72" w:type="dxa"/>
              <w:left w:w="144" w:type="dxa"/>
              <w:bottom w:w="72" w:type="dxa"/>
              <w:right w:w="144" w:type="dxa"/>
            </w:tcMar>
            <w:vAlign w:val="center"/>
            <w:hideMark/>
          </w:tcPr>
          <w:p w14:paraId="4C2F5567" w14:textId="77777777" w:rsidR="005B70AA" w:rsidRPr="005B70AA" w:rsidRDefault="005B70AA" w:rsidP="00375250">
            <w:pPr>
              <w:pStyle w:val="tabgauche"/>
            </w:pPr>
            <w:r w:rsidRPr="005B70AA">
              <w:t>Bon</w:t>
            </w:r>
          </w:p>
        </w:tc>
        <w:tc>
          <w:tcPr>
            <w:tcW w:w="783" w:type="pct"/>
            <w:tcBorders>
              <w:top w:val="single" w:sz="24" w:space="0" w:color="FFFFFF"/>
              <w:left w:val="single" w:sz="8" w:space="0" w:color="FFFFFF"/>
              <w:bottom w:val="single" w:sz="8" w:space="0" w:color="FFFFFF"/>
              <w:right w:val="single" w:sz="8" w:space="0" w:color="FFFFFF"/>
            </w:tcBorders>
            <w:shd w:val="clear" w:color="auto" w:fill="AFEBAF"/>
            <w:tcMar>
              <w:top w:w="72" w:type="dxa"/>
              <w:left w:w="144" w:type="dxa"/>
              <w:bottom w:w="72" w:type="dxa"/>
              <w:right w:w="144" w:type="dxa"/>
            </w:tcMar>
            <w:vAlign w:val="center"/>
            <w:hideMark/>
          </w:tcPr>
          <w:p w14:paraId="4EEC3040" w14:textId="77777777" w:rsidR="005B70AA" w:rsidRPr="005B70AA" w:rsidRDefault="005B70AA" w:rsidP="005B70AA">
            <w:r w:rsidRPr="005B70AA">
              <w:t>Bon</w:t>
            </w:r>
          </w:p>
        </w:tc>
        <w:tc>
          <w:tcPr>
            <w:tcW w:w="783" w:type="pct"/>
            <w:tcBorders>
              <w:top w:val="single" w:sz="24" w:space="0" w:color="FFFFFF"/>
              <w:left w:val="single" w:sz="8" w:space="0" w:color="FFFFFF"/>
              <w:bottom w:val="single" w:sz="8" w:space="0" w:color="FFFFFF"/>
              <w:right w:val="single" w:sz="8" w:space="0" w:color="FFFFFF"/>
            </w:tcBorders>
            <w:shd w:val="clear" w:color="auto" w:fill="AFEBAF"/>
            <w:tcMar>
              <w:top w:w="72" w:type="dxa"/>
              <w:left w:w="144" w:type="dxa"/>
              <w:bottom w:w="72" w:type="dxa"/>
              <w:right w:w="144" w:type="dxa"/>
            </w:tcMar>
            <w:vAlign w:val="center"/>
            <w:hideMark/>
          </w:tcPr>
          <w:p w14:paraId="5603ED4D" w14:textId="77777777" w:rsidR="005B70AA" w:rsidRPr="005B70AA" w:rsidRDefault="005B70AA" w:rsidP="005B70AA">
            <w:r w:rsidRPr="005B70AA">
              <w:t>Bon</w:t>
            </w:r>
          </w:p>
        </w:tc>
        <w:tc>
          <w:tcPr>
            <w:tcW w:w="783" w:type="pct"/>
            <w:tcBorders>
              <w:top w:val="single" w:sz="24" w:space="0" w:color="FFFFFF"/>
              <w:left w:val="single" w:sz="8" w:space="0" w:color="FFFFFF"/>
              <w:bottom w:val="single" w:sz="8" w:space="0" w:color="FFFFFF"/>
              <w:right w:val="single" w:sz="8" w:space="0" w:color="FFFFFF"/>
            </w:tcBorders>
            <w:shd w:val="clear" w:color="auto" w:fill="AFEBAF"/>
            <w:tcMar>
              <w:top w:w="72" w:type="dxa"/>
              <w:left w:w="144" w:type="dxa"/>
              <w:bottom w:w="72" w:type="dxa"/>
              <w:right w:w="144" w:type="dxa"/>
            </w:tcMar>
            <w:vAlign w:val="center"/>
            <w:hideMark/>
          </w:tcPr>
          <w:p w14:paraId="6FB38BF2" w14:textId="77777777" w:rsidR="005B70AA" w:rsidRPr="005B70AA" w:rsidRDefault="005B70AA" w:rsidP="005B70AA">
            <w:r w:rsidRPr="005B70AA">
              <w:t>Bon</w:t>
            </w:r>
          </w:p>
        </w:tc>
        <w:tc>
          <w:tcPr>
            <w:tcW w:w="170"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560CAF1C" w14:textId="77777777" w:rsidR="005B70AA" w:rsidRPr="005B70AA" w:rsidRDefault="005B70AA" w:rsidP="005B70AA"/>
        </w:tc>
        <w:tc>
          <w:tcPr>
            <w:tcW w:w="907" w:type="pct"/>
            <w:tcBorders>
              <w:top w:val="single" w:sz="24" w:space="0" w:color="FFFFFF"/>
              <w:left w:val="single" w:sz="8" w:space="0" w:color="FFFFFF"/>
              <w:bottom w:val="single" w:sz="8" w:space="0" w:color="FFFFFF"/>
              <w:right w:val="single" w:sz="8" w:space="0" w:color="FFFFFF"/>
            </w:tcBorders>
            <w:shd w:val="clear" w:color="auto" w:fill="AFEBAF"/>
            <w:tcMar>
              <w:top w:w="72" w:type="dxa"/>
              <w:left w:w="144" w:type="dxa"/>
              <w:bottom w:w="72" w:type="dxa"/>
              <w:right w:w="144" w:type="dxa"/>
            </w:tcMar>
            <w:vAlign w:val="center"/>
            <w:hideMark/>
          </w:tcPr>
          <w:p w14:paraId="3FA6AA1A" w14:textId="4D7D4F3A" w:rsidR="005B70AA" w:rsidRPr="005B70AA" w:rsidRDefault="005B70AA" w:rsidP="005B70AA">
            <w:r w:rsidRPr="005B70AA">
              <w:t xml:space="preserve">- </w:t>
            </w:r>
            <w:r w:rsidR="00E528DB">
              <w:t>ou</w:t>
            </w:r>
            <w:r w:rsidRPr="005B70AA">
              <w:t xml:space="preserve"> Bon</w:t>
            </w:r>
          </w:p>
        </w:tc>
        <w:tc>
          <w:tcPr>
            <w:tcW w:w="150" w:type="pct"/>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7D8749E" w14:textId="77777777" w:rsidR="005B70AA" w:rsidRPr="005B70AA" w:rsidRDefault="005B70AA" w:rsidP="005B70AA"/>
        </w:tc>
        <w:tc>
          <w:tcPr>
            <w:tcW w:w="640" w:type="pct"/>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45FED50C" w14:textId="77777777" w:rsidR="005B70AA" w:rsidRPr="005B70AA" w:rsidRDefault="005B70AA" w:rsidP="009D1964">
            <w:pPr>
              <w:pStyle w:val="tabcentregras"/>
            </w:pPr>
            <w:r w:rsidRPr="005B70AA">
              <w:t>Bon</w:t>
            </w:r>
          </w:p>
        </w:tc>
      </w:tr>
      <w:tr w:rsidR="005B70AA" w:rsidRPr="005B70AA" w14:paraId="32431321" w14:textId="77777777" w:rsidTr="00375250">
        <w:trPr>
          <w:trHeight w:val="510"/>
        </w:trPr>
        <w:tc>
          <w:tcPr>
            <w:tcW w:w="783" w:type="pct"/>
            <w:tcBorders>
              <w:top w:val="single" w:sz="8" w:space="0" w:color="FFFFFF"/>
              <w:left w:val="single" w:sz="8" w:space="0" w:color="FFFFFF"/>
              <w:bottom w:val="single" w:sz="8" w:space="0" w:color="FFFFFF"/>
              <w:right w:val="single" w:sz="8" w:space="0" w:color="FFFFFF"/>
            </w:tcBorders>
            <w:shd w:val="clear" w:color="auto" w:fill="F09597"/>
            <w:tcMar>
              <w:top w:w="72" w:type="dxa"/>
              <w:left w:w="144" w:type="dxa"/>
              <w:bottom w:w="72" w:type="dxa"/>
              <w:right w:w="144" w:type="dxa"/>
            </w:tcMar>
            <w:vAlign w:val="center"/>
            <w:hideMark/>
          </w:tcPr>
          <w:p w14:paraId="2035B7A2" w14:textId="77777777" w:rsidR="005B70AA" w:rsidRPr="005B70AA" w:rsidRDefault="005B70AA" w:rsidP="005B70AA">
            <w:r w:rsidRPr="005B70AA">
              <w:t>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47D276D3" w14:textId="72E9A625"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70256699" w14:textId="4517FA2B"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65DDF5A3" w14:textId="46ED31F2" w:rsidR="005B70AA" w:rsidRPr="005B70AA" w:rsidRDefault="005B70AA" w:rsidP="005B70AA">
            <w:r w:rsidRPr="005B70AA">
              <w:t xml:space="preserve">Bon </w:t>
            </w:r>
            <w:r w:rsidR="00E528DB">
              <w:t>ou</w:t>
            </w:r>
            <w:r w:rsidRPr="005B70AA">
              <w:t xml:space="preserve"> Mauvais</w:t>
            </w:r>
          </w:p>
        </w:tc>
        <w:tc>
          <w:tcPr>
            <w:tcW w:w="17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0F256A60" w14:textId="77777777" w:rsidR="005B70AA" w:rsidRPr="005B70AA" w:rsidRDefault="005B70AA" w:rsidP="005B70AA"/>
        </w:tc>
        <w:tc>
          <w:tcPr>
            <w:tcW w:w="907"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296E9787" w14:textId="1457E655" w:rsidR="005B70AA" w:rsidRPr="005B70AA" w:rsidRDefault="005B70AA" w:rsidP="005B70AA">
            <w:r w:rsidRPr="005B70AA">
              <w:t xml:space="preserve">- </w:t>
            </w:r>
            <w:r w:rsidR="00E528DB">
              <w:t>ou</w:t>
            </w:r>
            <w:r w:rsidRPr="005B70AA">
              <w:t xml:space="preserve"> Bon </w:t>
            </w:r>
            <w:r w:rsidR="00E528DB">
              <w:t>ou</w:t>
            </w:r>
            <w:r w:rsidRPr="005B70AA">
              <w:t xml:space="preserve"> Mauvais</w:t>
            </w:r>
          </w:p>
        </w:tc>
        <w:tc>
          <w:tcPr>
            <w:tcW w:w="15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2B7E7CB" w14:textId="77777777" w:rsidR="005B70AA" w:rsidRPr="005B70AA" w:rsidRDefault="005B70AA" w:rsidP="005B70AA"/>
        </w:tc>
        <w:tc>
          <w:tcPr>
            <w:tcW w:w="640" w:type="pct"/>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344410BE" w14:textId="77777777" w:rsidR="005B70AA" w:rsidRPr="005B70AA" w:rsidRDefault="005B70AA" w:rsidP="009D1964">
            <w:pPr>
              <w:pStyle w:val="tabcentregras"/>
            </w:pPr>
            <w:r w:rsidRPr="005B70AA">
              <w:t>Mauvais</w:t>
            </w:r>
          </w:p>
        </w:tc>
      </w:tr>
      <w:tr w:rsidR="005B70AA" w:rsidRPr="005B70AA" w14:paraId="058AD6D4" w14:textId="77777777" w:rsidTr="00375250">
        <w:trPr>
          <w:trHeight w:val="510"/>
        </w:trPr>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5241A51D" w14:textId="31D81A16"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F09597"/>
            <w:tcMar>
              <w:top w:w="72" w:type="dxa"/>
              <w:left w:w="144" w:type="dxa"/>
              <w:bottom w:w="72" w:type="dxa"/>
              <w:right w:w="144" w:type="dxa"/>
            </w:tcMar>
            <w:vAlign w:val="center"/>
            <w:hideMark/>
          </w:tcPr>
          <w:p w14:paraId="3B68385B" w14:textId="77777777" w:rsidR="005B70AA" w:rsidRPr="005B70AA" w:rsidRDefault="005B70AA" w:rsidP="005B70AA">
            <w:r w:rsidRPr="005B70AA">
              <w:t>Mauvais</w:t>
            </w:r>
          </w:p>
        </w:tc>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2846C756" w14:textId="663EDC64"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3E5A04A3" w14:textId="6ABA91C8" w:rsidR="005B70AA" w:rsidRPr="005B70AA" w:rsidRDefault="005B70AA" w:rsidP="005B70AA">
            <w:r w:rsidRPr="005B70AA">
              <w:t xml:space="preserve">Bon </w:t>
            </w:r>
            <w:r w:rsidR="00E528DB">
              <w:t>ou</w:t>
            </w:r>
            <w:r w:rsidRPr="005B70AA">
              <w:t xml:space="preserve"> Mauvais</w:t>
            </w:r>
          </w:p>
        </w:tc>
        <w:tc>
          <w:tcPr>
            <w:tcW w:w="17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E70A541" w14:textId="77777777" w:rsidR="005B70AA" w:rsidRPr="005B70AA" w:rsidRDefault="005B70AA" w:rsidP="005B70AA"/>
        </w:tc>
        <w:tc>
          <w:tcPr>
            <w:tcW w:w="907"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62805F64" w14:textId="6A138D7C" w:rsidR="005B70AA" w:rsidRPr="005B70AA" w:rsidRDefault="005B70AA" w:rsidP="005B70AA">
            <w:r w:rsidRPr="005B70AA">
              <w:t xml:space="preserve">- </w:t>
            </w:r>
            <w:r w:rsidR="00E528DB">
              <w:t>ou</w:t>
            </w:r>
            <w:r w:rsidRPr="005B70AA">
              <w:t xml:space="preserve"> Bon </w:t>
            </w:r>
            <w:r w:rsidR="00E528DB">
              <w:t>ou</w:t>
            </w:r>
            <w:r w:rsidRPr="005B70AA">
              <w:t xml:space="preserve"> Mauvais</w:t>
            </w:r>
          </w:p>
        </w:tc>
        <w:tc>
          <w:tcPr>
            <w:tcW w:w="15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1D862AE" w14:textId="77777777" w:rsidR="005B70AA" w:rsidRPr="005B70AA" w:rsidRDefault="005B70AA" w:rsidP="005B70AA"/>
        </w:tc>
        <w:tc>
          <w:tcPr>
            <w:tcW w:w="640" w:type="pct"/>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154EA7DF" w14:textId="77777777" w:rsidR="005B70AA" w:rsidRPr="005B70AA" w:rsidRDefault="005B70AA" w:rsidP="009D1964">
            <w:pPr>
              <w:pStyle w:val="tabcentregras"/>
            </w:pPr>
            <w:r w:rsidRPr="005B70AA">
              <w:t>Mauvais</w:t>
            </w:r>
          </w:p>
        </w:tc>
      </w:tr>
      <w:tr w:rsidR="005B70AA" w:rsidRPr="005B70AA" w14:paraId="42BE853A" w14:textId="77777777" w:rsidTr="00375250">
        <w:trPr>
          <w:trHeight w:val="510"/>
        </w:trPr>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3A603B10" w14:textId="0E6E5DF7"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18C6A98F" w14:textId="0E4B1231"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F09597"/>
            <w:tcMar>
              <w:top w:w="72" w:type="dxa"/>
              <w:left w:w="144" w:type="dxa"/>
              <w:bottom w:w="72" w:type="dxa"/>
              <w:right w:w="144" w:type="dxa"/>
            </w:tcMar>
            <w:vAlign w:val="center"/>
            <w:hideMark/>
          </w:tcPr>
          <w:p w14:paraId="18639723" w14:textId="77777777" w:rsidR="005B70AA" w:rsidRPr="005B70AA" w:rsidRDefault="005B70AA" w:rsidP="005B70AA">
            <w:r w:rsidRPr="005B70AA">
              <w:t>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3FA9D86E" w14:textId="7C4E2CB5" w:rsidR="005B70AA" w:rsidRPr="005B70AA" w:rsidRDefault="005B70AA" w:rsidP="005B70AA">
            <w:r w:rsidRPr="005B70AA">
              <w:t xml:space="preserve">Bon </w:t>
            </w:r>
            <w:r w:rsidR="00E528DB">
              <w:t>ou</w:t>
            </w:r>
            <w:r w:rsidRPr="005B70AA">
              <w:t xml:space="preserve"> Mauvais</w:t>
            </w:r>
          </w:p>
        </w:tc>
        <w:tc>
          <w:tcPr>
            <w:tcW w:w="17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71E0CF12" w14:textId="77777777" w:rsidR="005B70AA" w:rsidRPr="005B70AA" w:rsidRDefault="005B70AA" w:rsidP="005B70AA"/>
        </w:tc>
        <w:tc>
          <w:tcPr>
            <w:tcW w:w="907"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5874E0F2" w14:textId="6693621F" w:rsidR="005B70AA" w:rsidRPr="005B70AA" w:rsidRDefault="005B70AA" w:rsidP="005B70AA">
            <w:r w:rsidRPr="005B70AA">
              <w:t xml:space="preserve">- </w:t>
            </w:r>
            <w:r w:rsidR="00E528DB">
              <w:t>ou</w:t>
            </w:r>
            <w:r w:rsidRPr="005B70AA">
              <w:t xml:space="preserve"> Bon </w:t>
            </w:r>
            <w:r w:rsidR="00E528DB">
              <w:t>ou</w:t>
            </w:r>
            <w:r w:rsidRPr="005B70AA">
              <w:t xml:space="preserve"> Mauvais</w:t>
            </w:r>
          </w:p>
        </w:tc>
        <w:tc>
          <w:tcPr>
            <w:tcW w:w="15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16E6840D" w14:textId="77777777" w:rsidR="005B70AA" w:rsidRPr="005B70AA" w:rsidRDefault="005B70AA" w:rsidP="005B70AA"/>
        </w:tc>
        <w:tc>
          <w:tcPr>
            <w:tcW w:w="640" w:type="pct"/>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24649BEC" w14:textId="77777777" w:rsidR="005B70AA" w:rsidRPr="005B70AA" w:rsidRDefault="005B70AA" w:rsidP="009D1964">
            <w:pPr>
              <w:pStyle w:val="tabcentregras"/>
            </w:pPr>
            <w:r w:rsidRPr="005B70AA">
              <w:t>Mauvais</w:t>
            </w:r>
          </w:p>
        </w:tc>
      </w:tr>
      <w:tr w:rsidR="005B70AA" w:rsidRPr="005B70AA" w14:paraId="61F677B5" w14:textId="77777777" w:rsidTr="00375250">
        <w:trPr>
          <w:trHeight w:val="510"/>
        </w:trPr>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2209C967" w14:textId="03DB9AA5"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6C804B42" w14:textId="14BF1503"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10D410D3" w14:textId="69805E12"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F09597"/>
            <w:tcMar>
              <w:top w:w="72" w:type="dxa"/>
              <w:left w:w="144" w:type="dxa"/>
              <w:bottom w:w="72" w:type="dxa"/>
              <w:right w:w="144" w:type="dxa"/>
            </w:tcMar>
            <w:vAlign w:val="center"/>
            <w:hideMark/>
          </w:tcPr>
          <w:p w14:paraId="32962D38" w14:textId="77777777" w:rsidR="005B70AA" w:rsidRPr="005B70AA" w:rsidRDefault="005B70AA" w:rsidP="005B70AA">
            <w:r w:rsidRPr="005B70AA">
              <w:t>Mauvais</w:t>
            </w:r>
          </w:p>
        </w:tc>
        <w:tc>
          <w:tcPr>
            <w:tcW w:w="17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46518A85" w14:textId="77777777" w:rsidR="005B70AA" w:rsidRPr="005B70AA" w:rsidRDefault="005B70AA" w:rsidP="005B70AA"/>
        </w:tc>
        <w:tc>
          <w:tcPr>
            <w:tcW w:w="907" w:type="pct"/>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413BED9A" w14:textId="7C74C452" w:rsidR="005B70AA" w:rsidRPr="005B70AA" w:rsidRDefault="005B70AA" w:rsidP="005B70AA">
            <w:r w:rsidRPr="005B70AA">
              <w:t xml:space="preserve">- </w:t>
            </w:r>
            <w:r w:rsidR="00E528DB">
              <w:t>ou</w:t>
            </w:r>
            <w:r w:rsidRPr="005B70AA">
              <w:t xml:space="preserve"> Bon </w:t>
            </w:r>
            <w:r w:rsidR="00E528DB">
              <w:t>ou</w:t>
            </w:r>
            <w:r w:rsidRPr="005B70AA">
              <w:t xml:space="preserve"> Mauvais</w:t>
            </w:r>
          </w:p>
        </w:tc>
        <w:tc>
          <w:tcPr>
            <w:tcW w:w="15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33170C41" w14:textId="77777777" w:rsidR="005B70AA" w:rsidRPr="005B70AA" w:rsidRDefault="005B70AA" w:rsidP="005B70AA"/>
        </w:tc>
        <w:tc>
          <w:tcPr>
            <w:tcW w:w="640" w:type="pct"/>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163DF541" w14:textId="77777777" w:rsidR="005B70AA" w:rsidRPr="005B70AA" w:rsidRDefault="005B70AA" w:rsidP="009D1964">
            <w:pPr>
              <w:pStyle w:val="tabcentregras"/>
            </w:pPr>
            <w:r w:rsidRPr="005B70AA">
              <w:t>Mauvais</w:t>
            </w:r>
          </w:p>
        </w:tc>
      </w:tr>
      <w:tr w:rsidR="005B70AA" w:rsidRPr="005B70AA" w14:paraId="6FD3998F" w14:textId="77777777" w:rsidTr="002E4303">
        <w:trPr>
          <w:trHeight w:val="510"/>
        </w:trPr>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475B4454" w14:textId="5DD39CD9"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135921BC" w14:textId="018247AB"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5D6FED41" w14:textId="7CF19DF4" w:rsidR="005B70AA" w:rsidRPr="005B70AA" w:rsidRDefault="005B70AA" w:rsidP="005B70AA">
            <w:r w:rsidRPr="005B70AA">
              <w:t xml:space="preserve">Bon </w:t>
            </w:r>
            <w:r w:rsidR="00E528DB">
              <w:t>ou</w:t>
            </w:r>
            <w:r w:rsidRPr="005B70AA">
              <w:t xml:space="preserve"> Mauvais</w:t>
            </w:r>
          </w:p>
        </w:tc>
        <w:tc>
          <w:tcPr>
            <w:tcW w:w="783" w:type="pct"/>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29EDCD27" w14:textId="741211E3" w:rsidR="005B70AA" w:rsidRPr="005B70AA" w:rsidRDefault="005B70AA" w:rsidP="005B70AA">
            <w:r w:rsidRPr="005B70AA">
              <w:t xml:space="preserve">Bon </w:t>
            </w:r>
            <w:r w:rsidR="00E528DB">
              <w:t>ou</w:t>
            </w:r>
            <w:r w:rsidRPr="005B70AA">
              <w:t xml:space="preserve"> Mauvais</w:t>
            </w:r>
          </w:p>
        </w:tc>
        <w:tc>
          <w:tcPr>
            <w:tcW w:w="17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2E41248" w14:textId="77777777" w:rsidR="005B70AA" w:rsidRPr="005B70AA" w:rsidRDefault="005B70AA" w:rsidP="005B70AA"/>
        </w:tc>
        <w:tc>
          <w:tcPr>
            <w:tcW w:w="907" w:type="pct"/>
            <w:tcBorders>
              <w:top w:val="single" w:sz="8" w:space="0" w:color="FFFFFF"/>
              <w:left w:val="single" w:sz="8" w:space="0" w:color="FFFFFF"/>
              <w:bottom w:val="single" w:sz="8" w:space="0" w:color="FFFFFF"/>
              <w:right w:val="single" w:sz="8" w:space="0" w:color="FFFFFF"/>
            </w:tcBorders>
            <w:shd w:val="clear" w:color="auto" w:fill="F09597"/>
            <w:tcMar>
              <w:top w:w="72" w:type="dxa"/>
              <w:left w:w="144" w:type="dxa"/>
              <w:bottom w:w="72" w:type="dxa"/>
              <w:right w:w="144" w:type="dxa"/>
            </w:tcMar>
            <w:vAlign w:val="center"/>
            <w:hideMark/>
          </w:tcPr>
          <w:p w14:paraId="229E2814" w14:textId="77777777" w:rsidR="005B70AA" w:rsidRPr="005B70AA" w:rsidRDefault="005B70AA" w:rsidP="005B70AA">
            <w:r w:rsidRPr="005B70AA">
              <w:t>Mauvais</w:t>
            </w:r>
          </w:p>
        </w:tc>
        <w:tc>
          <w:tcPr>
            <w:tcW w:w="150" w:type="pct"/>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vAlign w:val="center"/>
            <w:hideMark/>
          </w:tcPr>
          <w:p w14:paraId="28744B87" w14:textId="77777777" w:rsidR="005B70AA" w:rsidRPr="005B70AA" w:rsidRDefault="005B70AA" w:rsidP="005B70AA"/>
        </w:tc>
        <w:tc>
          <w:tcPr>
            <w:tcW w:w="640" w:type="pct"/>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10823FBB" w14:textId="77777777" w:rsidR="005B70AA" w:rsidRPr="005B70AA" w:rsidRDefault="005B70AA" w:rsidP="009D1964">
            <w:pPr>
              <w:pStyle w:val="tabcentregras"/>
            </w:pPr>
            <w:r w:rsidRPr="005B70AA">
              <w:t>Mauvais</w:t>
            </w:r>
          </w:p>
        </w:tc>
      </w:tr>
    </w:tbl>
    <w:p w14:paraId="3B4E406E" w14:textId="3C364D41" w:rsidR="008F6ABC" w:rsidRPr="005620C0" w:rsidRDefault="00AF6403" w:rsidP="002B0460">
      <w:pPr>
        <w:rPr>
          <w:rStyle w:val="Accentuationlgre"/>
        </w:rPr>
      </w:pPr>
      <w:r w:rsidRPr="005620C0">
        <w:rPr>
          <w:rStyle w:val="Accentuationlgre"/>
        </w:rPr>
        <w:t>-</w:t>
      </w:r>
      <w:r w:rsidR="005620C0" w:rsidRPr="005620C0">
        <w:rPr>
          <w:rStyle w:val="Accentuationlgre"/>
        </w:rPr>
        <w:t> : absence de mesure</w:t>
      </w:r>
      <w:r w:rsidR="008A0490">
        <w:rPr>
          <w:rStyle w:val="Accentuationlgre"/>
        </w:rPr>
        <w:t>.</w:t>
      </w:r>
    </w:p>
    <w:p w14:paraId="1D299F98" w14:textId="77777777" w:rsidR="00162A22" w:rsidRDefault="00162A22" w:rsidP="002B0460"/>
    <w:p w14:paraId="026845C2" w14:textId="77777777" w:rsidR="00D54FD0" w:rsidRDefault="00D54FD0" w:rsidP="002B0460"/>
    <w:p w14:paraId="000BDB3D" w14:textId="38717DB4" w:rsidR="00162A22" w:rsidRDefault="005D3EEB" w:rsidP="005D3EEB">
      <w:pPr>
        <w:pStyle w:val="Titre2"/>
      </w:pPr>
      <w:bookmarkStart w:id="5" w:name="_Ref116660177"/>
      <w:bookmarkStart w:id="6" w:name="_Ref116660217"/>
      <w:bookmarkStart w:id="7" w:name="_Ref116660227"/>
      <w:bookmarkStart w:id="8" w:name="_Toc119641569"/>
      <w:r>
        <w:t>Détermination du critère CO</w:t>
      </w:r>
      <w:r w:rsidRPr="005D3EEB">
        <w:rPr>
          <w:vertAlign w:val="subscript"/>
        </w:rPr>
        <w:t>2</w:t>
      </w:r>
      <w:bookmarkEnd w:id="5"/>
      <w:bookmarkEnd w:id="6"/>
      <w:bookmarkEnd w:id="7"/>
      <w:bookmarkEnd w:id="8"/>
    </w:p>
    <w:p w14:paraId="3CA5B33D" w14:textId="4BCFB5A2" w:rsidR="005D3EEB" w:rsidRDefault="00FB2E30" w:rsidP="002B0460">
      <w:r>
        <w:t>Le critère CO</w:t>
      </w:r>
      <w:r w:rsidRPr="00545FB4">
        <w:rPr>
          <w:vertAlign w:val="subscript"/>
        </w:rPr>
        <w:t>2</w:t>
      </w:r>
      <w:r>
        <w:t xml:space="preserve"> est construit sur le </w:t>
      </w:r>
      <w:r w:rsidR="004620E5">
        <w:t>non-dépassement</w:t>
      </w:r>
      <w:r>
        <w:t xml:space="preserve"> de deux valeurs</w:t>
      </w:r>
      <w:r w:rsidR="00673D68">
        <w:t xml:space="preserve">, un seuil de protection </w:t>
      </w:r>
      <w:r w:rsidR="00673D68" w:rsidRPr="000B7063">
        <w:t>défini à court terme (RSDT</w:t>
      </w:r>
      <w:r w:rsidR="000B7063" w:rsidRPr="000B7063">
        <w:t>, 1975</w:t>
      </w:r>
      <w:r w:rsidR="00673D68" w:rsidRPr="000B7063">
        <w:t>) et un seuil de protection défini à long terme</w:t>
      </w:r>
      <w:r w:rsidR="004620E5" w:rsidRPr="000B7063">
        <w:t xml:space="preserve"> basé sur le</w:t>
      </w:r>
      <w:r w:rsidR="004620E5">
        <w:t xml:space="preserve"> calcul de l’indice ICONE (</w:t>
      </w:r>
      <w:r w:rsidR="000671B9">
        <w:t>Décret</w:t>
      </w:r>
      <w:r w:rsidR="004B08F9">
        <w:t xml:space="preserve"> n°2011-1728</w:t>
      </w:r>
      <w:r w:rsidR="000671B9">
        <w:t xml:space="preserve">, </w:t>
      </w:r>
      <w:r w:rsidR="004B08F9">
        <w:t>2011)</w:t>
      </w:r>
      <w:r w:rsidR="004620E5">
        <w:t>.</w:t>
      </w:r>
    </w:p>
    <w:p w14:paraId="6D0E0E77" w14:textId="2E54F3DB" w:rsidR="00095A32" w:rsidRDefault="00545FB4" w:rsidP="002B0460">
      <w:r>
        <w:t>Le respect du seuil à court terme est défini sur le principe qu</w:t>
      </w:r>
      <w:r w:rsidR="00C745C1">
        <w:t xml:space="preserve">’au </w:t>
      </w:r>
      <w:r w:rsidR="001874FA">
        <w:t>moins</w:t>
      </w:r>
      <w:r>
        <w:t xml:space="preserve"> </w:t>
      </w:r>
      <w:r w:rsidR="00C745C1">
        <w:t>90% des mesures soient en-dessous sur seuil de 1450 ppm</w:t>
      </w:r>
      <w:r w:rsidR="006A11D5">
        <w:t>. Pour les logements, les mesures</w:t>
      </w:r>
      <w:r w:rsidR="005D41E6">
        <w:t xml:space="preserve"> sont</w:t>
      </w:r>
      <w:r w:rsidR="006A11D5">
        <w:t xml:space="preserve"> prises en compte </w:t>
      </w:r>
      <w:r w:rsidR="005D41E6">
        <w:t xml:space="preserve">sur l’ensemble de la période de </w:t>
      </w:r>
      <w:r w:rsidR="00F53F39">
        <w:t>mesure</w:t>
      </w:r>
      <w:r w:rsidR="005D41E6">
        <w:t xml:space="preserve">, pour les écoles et </w:t>
      </w:r>
      <w:r w:rsidR="00A8401B">
        <w:t>les bureaux, les mesures sont prises en compte uniquement sur la période d’occupation</w:t>
      </w:r>
      <w:r w:rsidR="001874FA">
        <w:t xml:space="preserve"> (définie dans le paragraphe suivant)</w:t>
      </w:r>
      <w:r w:rsidR="00A8401B">
        <w:t>.</w:t>
      </w:r>
    </w:p>
    <w:p w14:paraId="317BD5F6" w14:textId="6E972045" w:rsidR="005620C0" w:rsidRDefault="00561AE5" w:rsidP="002B0460">
      <w:r>
        <w:t xml:space="preserve">Le respect du seuil à long terme </w:t>
      </w:r>
      <w:r w:rsidR="00F52C7E">
        <w:t xml:space="preserve">est défini par une valeur de l’indice </w:t>
      </w:r>
      <w:r w:rsidR="00B62E9D">
        <w:t xml:space="preserve">de confinement ou </w:t>
      </w:r>
      <w:r w:rsidR="00F52C7E">
        <w:t>ICONE inférieure à 5</w:t>
      </w:r>
      <w:r w:rsidR="001874FA">
        <w:t xml:space="preserve"> (Décret n°2011-1728, 2011)</w:t>
      </w:r>
      <w:r w:rsidR="00F52C7E">
        <w:t xml:space="preserve">. </w:t>
      </w:r>
      <w:r w:rsidR="0018259C">
        <w:t xml:space="preserve">ICONE est calculé pour les logements </w:t>
      </w:r>
      <w:r w:rsidR="008166FD">
        <w:t xml:space="preserve">à partir des mesures effectuées </w:t>
      </w:r>
      <w:r w:rsidR="00321EA9">
        <w:t>chaque jour durant la</w:t>
      </w:r>
      <w:r w:rsidR="0018259C">
        <w:t xml:space="preserve"> période nocturne</w:t>
      </w:r>
      <w:r w:rsidR="00E34CAC">
        <w:t xml:space="preserve"> c’est-à-dire </w:t>
      </w:r>
      <w:r w:rsidR="00FB2E30" w:rsidRPr="00FB2E30">
        <w:t xml:space="preserve">entre 1h et 5h du matin sur </w:t>
      </w:r>
      <w:r w:rsidR="008166FD">
        <w:t xml:space="preserve">les </w:t>
      </w:r>
      <w:r w:rsidR="00FB2E30" w:rsidRPr="00FB2E30">
        <w:t>7 jours</w:t>
      </w:r>
      <w:r w:rsidR="00E34CAC">
        <w:t xml:space="preserve"> de mesures. </w:t>
      </w:r>
      <w:r w:rsidR="00073AAF">
        <w:t xml:space="preserve">Pour les écoles, il est calculé </w:t>
      </w:r>
      <w:r w:rsidR="008166FD">
        <w:t xml:space="preserve">à partir des mesures effectuées </w:t>
      </w:r>
      <w:r w:rsidR="00073AAF">
        <w:t>en période d’occupation</w:t>
      </w:r>
      <w:r w:rsidR="00073AAF" w:rsidRPr="00073AAF">
        <w:t xml:space="preserve"> </w:t>
      </w:r>
      <w:r w:rsidR="00FB2E30" w:rsidRPr="00FB2E30">
        <w:t xml:space="preserve">sur les jours ouvrés </w:t>
      </w:r>
      <w:r w:rsidR="00073AAF">
        <w:t>c’est à dire</w:t>
      </w:r>
      <w:r w:rsidR="00FB2E30" w:rsidRPr="00FB2E30">
        <w:t xml:space="preserve"> </w:t>
      </w:r>
      <w:r w:rsidR="00A13216">
        <w:t xml:space="preserve">sur les plages horaires </w:t>
      </w:r>
      <w:r w:rsidR="00FB2E30" w:rsidRPr="00FB2E30">
        <w:t xml:space="preserve">8h30-11h30 </w:t>
      </w:r>
      <w:r w:rsidR="00073AAF">
        <w:t>et</w:t>
      </w:r>
      <w:r w:rsidR="00FB2E30" w:rsidRPr="00FB2E30">
        <w:t xml:space="preserve"> 13h30-15h30 sur </w:t>
      </w:r>
      <w:r w:rsidR="00073AAF">
        <w:t xml:space="preserve">les </w:t>
      </w:r>
      <w:r w:rsidR="00FB2E30" w:rsidRPr="00FB2E30">
        <w:t>4 jours</w:t>
      </w:r>
      <w:r w:rsidR="00073AAF">
        <w:t xml:space="preserve"> de mesures. Enfin, pour les bureaux</w:t>
      </w:r>
      <w:r w:rsidR="006E6D6C">
        <w:t xml:space="preserve">, ICONE est calculé </w:t>
      </w:r>
      <w:r w:rsidR="00A13216">
        <w:t xml:space="preserve">à partir des mesures effectuées </w:t>
      </w:r>
      <w:r w:rsidR="006E6D6C">
        <w:t xml:space="preserve">pendant la </w:t>
      </w:r>
      <w:r w:rsidR="00FB2E30" w:rsidRPr="00FB2E30">
        <w:t xml:space="preserve">période d’occupation sur les jours ouvrés </w:t>
      </w:r>
      <w:r w:rsidR="00A13216">
        <w:t>c’est-à-dire sur les plages horaires</w:t>
      </w:r>
      <w:r w:rsidR="00FB2E30" w:rsidRPr="00FB2E30">
        <w:t xml:space="preserve"> 8-12h </w:t>
      </w:r>
      <w:r w:rsidR="00E13315">
        <w:t>et</w:t>
      </w:r>
      <w:r w:rsidR="00FB2E30" w:rsidRPr="00FB2E30">
        <w:t xml:space="preserve"> 13-17h sur </w:t>
      </w:r>
      <w:r w:rsidR="00E13315">
        <w:t xml:space="preserve">les </w:t>
      </w:r>
      <w:r w:rsidR="00FB2E30" w:rsidRPr="00FB2E30">
        <w:t>5 jours</w:t>
      </w:r>
      <w:r w:rsidR="00E13315">
        <w:t xml:space="preserve"> de mesures.</w:t>
      </w:r>
    </w:p>
    <w:p w14:paraId="78714E15" w14:textId="12B61825" w:rsidR="00D72783" w:rsidRDefault="00D72783">
      <w:pPr>
        <w:spacing w:after="0"/>
        <w:jc w:val="left"/>
      </w:pPr>
      <w:r>
        <w:br w:type="page"/>
      </w:r>
    </w:p>
    <w:p w14:paraId="610A5538" w14:textId="5361DBA4" w:rsidR="00162A22" w:rsidRDefault="00E95CBC" w:rsidP="00E95CBC">
      <w:pPr>
        <w:pStyle w:val="Lgende"/>
      </w:pPr>
      <w:r>
        <w:lastRenderedPageBreak/>
        <w:t xml:space="preserve">Tableau </w:t>
      </w:r>
      <w:r>
        <w:fldChar w:fldCharType="begin"/>
      </w:r>
      <w:r>
        <w:instrText>SEQ Tableau \* ARABIC</w:instrText>
      </w:r>
      <w:r>
        <w:fldChar w:fldCharType="separate"/>
      </w:r>
      <w:r w:rsidR="009D178F">
        <w:rPr>
          <w:noProof/>
        </w:rPr>
        <w:t>2</w:t>
      </w:r>
      <w:r>
        <w:fldChar w:fldCharType="end"/>
      </w:r>
      <w:r>
        <w:t xml:space="preserve"> : Elaboration du critère CO</w:t>
      </w:r>
      <w:r w:rsidRPr="00E95CBC">
        <w:rPr>
          <w:vertAlign w:val="subscript"/>
        </w:rPr>
        <w:t>2</w:t>
      </w:r>
    </w:p>
    <w:tbl>
      <w:tblPr>
        <w:tblW w:w="0" w:type="auto"/>
        <w:jc w:val="center"/>
        <w:tblCellMar>
          <w:left w:w="0" w:type="dxa"/>
          <w:right w:w="0" w:type="dxa"/>
        </w:tblCellMar>
        <w:tblLook w:val="0420" w:firstRow="1" w:lastRow="0" w:firstColumn="0" w:lastColumn="0" w:noHBand="0" w:noVBand="1"/>
      </w:tblPr>
      <w:tblGrid>
        <w:gridCol w:w="4330"/>
        <w:gridCol w:w="2459"/>
        <w:gridCol w:w="1467"/>
      </w:tblGrid>
      <w:tr w:rsidR="00D72783" w:rsidRPr="00D72783" w14:paraId="58489DD1" w14:textId="77777777" w:rsidTr="00D72783">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040CA4E2" w14:textId="2B3CA85A" w:rsidR="00D72783" w:rsidRPr="00D72783" w:rsidRDefault="00A14FAF" w:rsidP="00D72783">
            <w:pPr>
              <w:pStyle w:val="tabgauchegras"/>
            </w:pPr>
            <w:r>
              <w:t>Au moins 90% des v</w:t>
            </w:r>
            <w:r w:rsidR="00D72783" w:rsidRPr="00D72783">
              <w:t>aleurs &lt; 1450 ppm</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741E1C35" w14:textId="77777777" w:rsidR="00D72783" w:rsidRPr="00D72783" w:rsidRDefault="00D72783" w:rsidP="00D72783">
            <w:pPr>
              <w:pStyle w:val="tabgauchegras"/>
            </w:pPr>
            <w:r w:rsidRPr="00D72783">
              <w:t>Tous les ICONES &lt; 5</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422D209A" w14:textId="21B43087" w:rsidR="00D72783" w:rsidRPr="00D72783" w:rsidRDefault="003864D7" w:rsidP="00D72783">
            <w:pPr>
              <w:pStyle w:val="tabcentregras"/>
            </w:pPr>
            <w:r>
              <w:t>Critère</w:t>
            </w:r>
            <w:r w:rsidR="00D72783" w:rsidRPr="00D72783">
              <w:t xml:space="preserve"> CO</w:t>
            </w:r>
            <w:r w:rsidR="00D72783" w:rsidRPr="00D72783">
              <w:rPr>
                <w:vertAlign w:val="subscript"/>
              </w:rPr>
              <w:t>2</w:t>
            </w:r>
          </w:p>
        </w:tc>
      </w:tr>
      <w:tr w:rsidR="00D72783" w:rsidRPr="00D72783" w14:paraId="64B2D7A1" w14:textId="77777777" w:rsidTr="00D72783">
        <w:trPr>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74DB4E03" w14:textId="77777777" w:rsidR="00D72783" w:rsidRPr="00D72783" w:rsidRDefault="00D72783" w:rsidP="00D72783">
            <w:pPr>
              <w:pStyle w:val="tabgauche"/>
            </w:pPr>
            <w:r w:rsidRPr="00D72783">
              <w:t>Oui</w:t>
            </w:r>
          </w:p>
        </w:tc>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1C4CC94B" w14:textId="77777777" w:rsidR="00D72783" w:rsidRPr="00D72783" w:rsidRDefault="00D72783" w:rsidP="00D72783">
            <w:pPr>
              <w:pStyle w:val="tabgauche"/>
            </w:pPr>
            <w:r w:rsidRPr="00D72783">
              <w:t>Oui</w:t>
            </w:r>
          </w:p>
        </w:tc>
        <w:tc>
          <w:tcPr>
            <w:tcW w:w="0" w:type="auto"/>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48D313FE" w14:textId="77777777" w:rsidR="00D72783" w:rsidRPr="00D72783" w:rsidRDefault="00D72783" w:rsidP="00D72783">
            <w:pPr>
              <w:pStyle w:val="tabcentregras"/>
            </w:pPr>
            <w:r w:rsidRPr="00D72783">
              <w:t>Bon</w:t>
            </w:r>
          </w:p>
        </w:tc>
      </w:tr>
      <w:tr w:rsidR="00D72783" w:rsidRPr="00D72783" w14:paraId="733CE38C" w14:textId="77777777" w:rsidTr="00D72783">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3C072BF5" w14:textId="77777777" w:rsidR="00D72783" w:rsidRPr="00D72783" w:rsidRDefault="00D72783" w:rsidP="00D72783">
            <w:pPr>
              <w:pStyle w:val="tabgauche"/>
            </w:pPr>
            <w:r w:rsidRPr="00D72783">
              <w:t>Oui</w:t>
            </w:r>
          </w:p>
        </w:tc>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7A2E2221" w14:textId="77777777" w:rsidR="00D72783" w:rsidRPr="00D72783" w:rsidRDefault="00D72783" w:rsidP="00D72783">
            <w:pPr>
              <w:pStyle w:val="tabgauche"/>
            </w:pPr>
            <w:r w:rsidRPr="00D72783">
              <w:t>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56E03ACE" w14:textId="77777777" w:rsidR="00D72783" w:rsidRPr="00D72783" w:rsidRDefault="00D72783" w:rsidP="00D72783">
            <w:pPr>
              <w:pStyle w:val="tabcentregras"/>
            </w:pPr>
            <w:r w:rsidRPr="00D72783">
              <w:t>Mauvais</w:t>
            </w:r>
          </w:p>
        </w:tc>
      </w:tr>
      <w:tr w:rsidR="00D72783" w:rsidRPr="00D72783" w14:paraId="03C59A3B" w14:textId="77777777" w:rsidTr="00D72783">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01F27596" w14:textId="77777777" w:rsidR="00D72783" w:rsidRPr="00D72783" w:rsidRDefault="00D72783" w:rsidP="00D72783">
            <w:pPr>
              <w:pStyle w:val="tabgauche"/>
            </w:pPr>
            <w:r w:rsidRPr="00D72783">
              <w:t>Non</w:t>
            </w:r>
          </w:p>
        </w:tc>
        <w:tc>
          <w:tcPr>
            <w:tcW w:w="0" w:type="auto"/>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4D95BB8E" w14:textId="56C6AE28" w:rsidR="00D72783" w:rsidRPr="00D72783" w:rsidRDefault="00D72783" w:rsidP="00D72783">
            <w:pPr>
              <w:pStyle w:val="tabgauche"/>
            </w:pPr>
            <w:r w:rsidRPr="00D72783">
              <w:t xml:space="preserve">Oui </w:t>
            </w:r>
            <w:r w:rsidR="00E528DB">
              <w:t>ou</w:t>
            </w:r>
            <w:r w:rsidRPr="00D72783">
              <w:t xml:space="preserve"> 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04491C0C" w14:textId="77777777" w:rsidR="00D72783" w:rsidRPr="00D72783" w:rsidRDefault="00D72783" w:rsidP="00D72783">
            <w:pPr>
              <w:pStyle w:val="tabcentregras"/>
            </w:pPr>
            <w:r w:rsidRPr="00D72783">
              <w:t>Mauvais</w:t>
            </w:r>
          </w:p>
        </w:tc>
      </w:tr>
    </w:tbl>
    <w:p w14:paraId="00B086F7" w14:textId="77777777" w:rsidR="00AB6BB2" w:rsidRDefault="00AB6BB2" w:rsidP="00FE7C99"/>
    <w:p w14:paraId="23AF3E98" w14:textId="77777777" w:rsidR="00D72783" w:rsidRDefault="00D72783" w:rsidP="00FE7C99"/>
    <w:p w14:paraId="2ACE35BE" w14:textId="32C41C77" w:rsidR="00D72783" w:rsidRDefault="00D72783" w:rsidP="00D72783">
      <w:pPr>
        <w:pStyle w:val="Titre2"/>
      </w:pPr>
      <w:bookmarkStart w:id="9" w:name="_Toc119641570"/>
      <w:r>
        <w:t xml:space="preserve">Détermination du critère </w:t>
      </w:r>
      <w:r w:rsidR="00644B7D">
        <w:t>F</w:t>
      </w:r>
      <w:r w:rsidR="005243A0">
        <w:t>ormaldéhyde</w:t>
      </w:r>
      <w:bookmarkEnd w:id="9"/>
    </w:p>
    <w:p w14:paraId="66B78DF7" w14:textId="24C5BFBF" w:rsidR="00D72783" w:rsidRDefault="00AA1B76" w:rsidP="00FE7C99">
      <w:r>
        <w:t>Le crit</w:t>
      </w:r>
      <w:r w:rsidR="006A11CF">
        <w:t xml:space="preserve">ère </w:t>
      </w:r>
      <w:r w:rsidR="00A14FAF">
        <w:t>F</w:t>
      </w:r>
      <w:r w:rsidR="006A11CF">
        <w:t xml:space="preserve">ormaldéhyde est construit sur le </w:t>
      </w:r>
      <w:r w:rsidR="00E46A93">
        <w:t>non-dépassement</w:t>
      </w:r>
      <w:r w:rsidR="006A11CF">
        <w:t xml:space="preserve"> d’une valeur</w:t>
      </w:r>
      <w:r w:rsidR="001F1CC7">
        <w:t xml:space="preserve"> de protection</w:t>
      </w:r>
      <w:r w:rsidR="00A14FAF">
        <w:t xml:space="preserve"> définie</w:t>
      </w:r>
      <w:r w:rsidR="006A11CF">
        <w:t xml:space="preserve"> à </w:t>
      </w:r>
      <w:r w:rsidR="006A11CF" w:rsidRPr="00C1165C">
        <w:t>court terme de 100 µ</w:t>
      </w:r>
      <w:r w:rsidR="00E46A93" w:rsidRPr="00C1165C">
        <w:t>g</w:t>
      </w:r>
      <w:r w:rsidR="006A11CF" w:rsidRPr="00C1165C">
        <w:t>/m</w:t>
      </w:r>
      <w:r w:rsidR="006A11CF" w:rsidRPr="00C1165C">
        <w:rPr>
          <w:vertAlign w:val="superscript"/>
        </w:rPr>
        <w:t>3</w:t>
      </w:r>
      <w:r w:rsidR="00E46A93" w:rsidRPr="00C1165C">
        <w:t xml:space="preserve"> (Anses, 2018). </w:t>
      </w:r>
      <w:r w:rsidR="00A7432D" w:rsidRPr="00C1165C">
        <w:t>Aucune valeur mesurée</w:t>
      </w:r>
      <w:r w:rsidR="0011158E" w:rsidRPr="00C1165C">
        <w:t xml:space="preserve"> ne doit dépasser ce seuil</w:t>
      </w:r>
      <w:r w:rsidR="00480EA3" w:rsidRPr="00C1165C">
        <w:t>,</w:t>
      </w:r>
      <w:r w:rsidR="00480EA3">
        <w:t xml:space="preserve"> pour </w:t>
      </w:r>
      <w:r w:rsidR="007016C2">
        <w:t>les logements</w:t>
      </w:r>
      <w:r w:rsidR="00480EA3">
        <w:t xml:space="preserve"> sur l’ensemble de la période de mesure et pour </w:t>
      </w:r>
      <w:r w:rsidR="00D53963">
        <w:t>les écoles et bureaux seulement sur la période d’occupation</w:t>
      </w:r>
      <w:r w:rsidR="00072AE8">
        <w:t xml:space="preserve"> (indiquée au paragraphe</w:t>
      </w:r>
      <w:r w:rsidR="0061238A">
        <w:t xml:space="preserve"> </w:t>
      </w:r>
      <w:r w:rsidR="0061238A">
        <w:fldChar w:fldCharType="begin"/>
      </w:r>
      <w:r w:rsidR="0061238A">
        <w:instrText xml:space="preserve"> REF _Ref116660227 \r \h </w:instrText>
      </w:r>
      <w:r w:rsidR="0061238A">
        <w:fldChar w:fldCharType="separate"/>
      </w:r>
      <w:r w:rsidR="009D178F">
        <w:t>2.1-</w:t>
      </w:r>
      <w:r w:rsidR="0061238A">
        <w:fldChar w:fldCharType="end"/>
      </w:r>
      <w:r w:rsidR="00072AE8">
        <w:t>)</w:t>
      </w:r>
      <w:r w:rsidR="00D53963">
        <w:t>.</w:t>
      </w:r>
    </w:p>
    <w:p w14:paraId="18E37881" w14:textId="5104407A" w:rsidR="005243A0" w:rsidRDefault="00D53963" w:rsidP="00D53963">
      <w:pPr>
        <w:pStyle w:val="Lgende"/>
      </w:pPr>
      <w:r>
        <w:t xml:space="preserve">Tableau </w:t>
      </w:r>
      <w:r>
        <w:fldChar w:fldCharType="begin"/>
      </w:r>
      <w:r>
        <w:instrText>SEQ Tableau \* ARABIC</w:instrText>
      </w:r>
      <w:r>
        <w:fldChar w:fldCharType="separate"/>
      </w:r>
      <w:r w:rsidR="009D178F">
        <w:rPr>
          <w:noProof/>
        </w:rPr>
        <w:t>3</w:t>
      </w:r>
      <w:r>
        <w:fldChar w:fldCharType="end"/>
      </w:r>
      <w:r>
        <w:t xml:space="preserve"> : Elaboration du critère Formaldéhyde</w:t>
      </w:r>
    </w:p>
    <w:tbl>
      <w:tblPr>
        <w:tblW w:w="0" w:type="auto"/>
        <w:jc w:val="center"/>
        <w:tblCellMar>
          <w:left w:w="0" w:type="dxa"/>
          <w:right w:w="0" w:type="dxa"/>
        </w:tblCellMar>
        <w:tblLook w:val="0420" w:firstRow="1" w:lastRow="0" w:firstColumn="0" w:lastColumn="0" w:noHBand="0" w:noVBand="1"/>
      </w:tblPr>
      <w:tblGrid>
        <w:gridCol w:w="2297"/>
        <w:gridCol w:w="2563"/>
      </w:tblGrid>
      <w:tr w:rsidR="00D53963" w:rsidRPr="00D53963" w14:paraId="03D8E643" w14:textId="77777777" w:rsidTr="00D53963">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7C7679BB" w14:textId="77777777" w:rsidR="00D53963" w:rsidRPr="00D53963" w:rsidRDefault="00D53963" w:rsidP="007016C2">
            <w:pPr>
              <w:pStyle w:val="tabgauchegras"/>
            </w:pPr>
            <w:r w:rsidRPr="00D53963">
              <w:t>Valeurs &lt;100 µg/m</w:t>
            </w:r>
            <w:r w:rsidRPr="00D53963">
              <w:rPr>
                <w:vertAlign w:val="superscript"/>
              </w:rPr>
              <w:t>3</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6828E4A8" w14:textId="2C69F240" w:rsidR="00D53963" w:rsidRPr="00D53963" w:rsidRDefault="00D53963" w:rsidP="007016C2">
            <w:pPr>
              <w:pStyle w:val="tabcentregras"/>
            </w:pPr>
            <w:r w:rsidRPr="00D53963">
              <w:t xml:space="preserve">Critère </w:t>
            </w:r>
            <w:r w:rsidR="00293581">
              <w:t>Formaldéhyde</w:t>
            </w:r>
          </w:p>
        </w:tc>
      </w:tr>
      <w:tr w:rsidR="00D53963" w:rsidRPr="00D53963" w14:paraId="238458C7" w14:textId="77777777" w:rsidTr="00D53963">
        <w:trPr>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33065B07" w14:textId="77777777" w:rsidR="00D53963" w:rsidRPr="00D53963" w:rsidRDefault="00D53963" w:rsidP="007016C2">
            <w:pPr>
              <w:pStyle w:val="tabgauche"/>
            </w:pPr>
            <w:r w:rsidRPr="00D53963">
              <w:t>Oui</w:t>
            </w:r>
          </w:p>
        </w:tc>
        <w:tc>
          <w:tcPr>
            <w:tcW w:w="0" w:type="auto"/>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15DEE859" w14:textId="77777777" w:rsidR="00D53963" w:rsidRPr="00D53963" w:rsidRDefault="00D53963" w:rsidP="007016C2">
            <w:pPr>
              <w:pStyle w:val="tabcentregras"/>
            </w:pPr>
            <w:r w:rsidRPr="00D53963">
              <w:t>Bon</w:t>
            </w:r>
          </w:p>
        </w:tc>
      </w:tr>
      <w:tr w:rsidR="00D53963" w:rsidRPr="00D53963" w14:paraId="3C02AF80" w14:textId="77777777" w:rsidTr="00D53963">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274E97D8" w14:textId="77777777" w:rsidR="00D53963" w:rsidRPr="00D53963" w:rsidRDefault="00D53963" w:rsidP="007016C2">
            <w:pPr>
              <w:pStyle w:val="tabgauche"/>
            </w:pPr>
            <w:r w:rsidRPr="00D53963">
              <w:t>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0D24133C" w14:textId="77777777" w:rsidR="00D53963" w:rsidRPr="00D53963" w:rsidRDefault="00D53963" w:rsidP="007016C2">
            <w:pPr>
              <w:pStyle w:val="tabcentregras"/>
            </w:pPr>
            <w:r w:rsidRPr="00D53963">
              <w:t>Mauvais</w:t>
            </w:r>
          </w:p>
        </w:tc>
      </w:tr>
    </w:tbl>
    <w:p w14:paraId="2A21F8BA" w14:textId="77777777" w:rsidR="00D53963" w:rsidRDefault="00D53963" w:rsidP="00FE7C99"/>
    <w:p w14:paraId="4DEDB612" w14:textId="77777777" w:rsidR="008920DC" w:rsidRDefault="008920DC" w:rsidP="00FE7C99"/>
    <w:p w14:paraId="432760CD" w14:textId="5FCDF724" w:rsidR="008920DC" w:rsidRPr="00C1165C" w:rsidRDefault="008920DC" w:rsidP="008920DC">
      <w:pPr>
        <w:pStyle w:val="Titre2"/>
      </w:pPr>
      <w:bookmarkStart w:id="10" w:name="_Toc119641571"/>
      <w:r w:rsidRPr="00C1165C">
        <w:t>Détermination du critère Dioxyde d’azote</w:t>
      </w:r>
      <w:bookmarkEnd w:id="10"/>
    </w:p>
    <w:p w14:paraId="5904D4D3" w14:textId="7498909B" w:rsidR="00A619AC" w:rsidRDefault="00A619AC" w:rsidP="00A619AC">
      <w:r w:rsidRPr="00C1165C">
        <w:t>Le critère NO</w:t>
      </w:r>
      <w:r w:rsidRPr="00C1165C">
        <w:rPr>
          <w:vertAlign w:val="subscript"/>
        </w:rPr>
        <w:t>2</w:t>
      </w:r>
      <w:r w:rsidRPr="00C1165C">
        <w:t xml:space="preserve"> est construit sur le non-dépassement de deux valeurs, un seuil de protection défini à court terme (Anses, 2013) et un seuil de protection défini à long terme (</w:t>
      </w:r>
      <w:r w:rsidR="00B12872" w:rsidRPr="00C1165C">
        <w:t>Anses 2013</w:t>
      </w:r>
      <w:r w:rsidRPr="00C1165C">
        <w:t>).</w:t>
      </w:r>
    </w:p>
    <w:p w14:paraId="29657AB2" w14:textId="130A7BD2" w:rsidR="00A619AC" w:rsidRDefault="00A619AC" w:rsidP="00A619AC">
      <w:r>
        <w:t xml:space="preserve">Le respect du seuil court terme est défini sur le principe qu’au </w:t>
      </w:r>
      <w:r w:rsidR="00370745">
        <w:t>moins</w:t>
      </w:r>
      <w:r>
        <w:t xml:space="preserve"> 90% des </w:t>
      </w:r>
      <w:r w:rsidR="0096078A">
        <w:t>moyenne</w:t>
      </w:r>
      <w:r w:rsidR="00000BB1">
        <w:t>s</w:t>
      </w:r>
      <w:r w:rsidR="0096078A">
        <w:t xml:space="preserve"> horaire</w:t>
      </w:r>
      <w:r w:rsidR="00000BB1">
        <w:t>s</w:t>
      </w:r>
      <w:r w:rsidR="00EA52B8">
        <w:rPr>
          <w:rStyle w:val="Appelnotedebasdep"/>
        </w:rPr>
        <w:footnoteReference w:id="2"/>
      </w:r>
      <w:r>
        <w:t xml:space="preserve"> soient en-dessous </w:t>
      </w:r>
      <w:r w:rsidR="00370745">
        <w:t>du</w:t>
      </w:r>
      <w:r>
        <w:t xml:space="preserve"> seuil de </w:t>
      </w:r>
      <w:r w:rsidR="009C5273">
        <w:t>200 µg/m</w:t>
      </w:r>
      <w:r w:rsidR="009C5273" w:rsidRPr="009C5273">
        <w:rPr>
          <w:vertAlign w:val="superscript"/>
        </w:rPr>
        <w:t>3</w:t>
      </w:r>
      <w:r>
        <w:t>. Pour les logements, les mesures sont prises en compte sur l’ensemble de la période de surveillance, pour les écoles et les bureaux, les mesures sont prises en compte uniquement sur la période d’occupation</w:t>
      </w:r>
      <w:r w:rsidR="004B6E92">
        <w:t xml:space="preserve"> (indiquée au paragraphe </w:t>
      </w:r>
      <w:r w:rsidR="004B6E92">
        <w:fldChar w:fldCharType="begin"/>
      </w:r>
      <w:r w:rsidR="004B6E92">
        <w:instrText xml:space="preserve"> REF _Ref116660227 \r \h </w:instrText>
      </w:r>
      <w:r w:rsidR="004B6E92">
        <w:fldChar w:fldCharType="separate"/>
      </w:r>
      <w:r w:rsidR="009D178F">
        <w:t>2.1-</w:t>
      </w:r>
      <w:r w:rsidR="004B6E92">
        <w:fldChar w:fldCharType="end"/>
      </w:r>
      <w:r w:rsidR="004B6E92">
        <w:t>)</w:t>
      </w:r>
      <w:r>
        <w:t>.</w:t>
      </w:r>
    </w:p>
    <w:p w14:paraId="2DE31E82" w14:textId="1D8E7FA9" w:rsidR="000B45EC" w:rsidRDefault="00A619AC" w:rsidP="00A619AC">
      <w:r>
        <w:t xml:space="preserve">Le respect du seuil à long terme est défini </w:t>
      </w:r>
      <w:r w:rsidR="000B45EC">
        <w:t>sur l</w:t>
      </w:r>
      <w:r w:rsidR="00D013F2">
        <w:t>e</w:t>
      </w:r>
      <w:r w:rsidR="000B45EC">
        <w:t xml:space="preserve"> principe que la moyenne calculée sur l’ensemble de la période soit inférieure à 20µg/m</w:t>
      </w:r>
      <w:r w:rsidR="000B45EC" w:rsidRPr="00D013F2">
        <w:rPr>
          <w:vertAlign w:val="superscript"/>
        </w:rPr>
        <w:t>3</w:t>
      </w:r>
      <w:r w:rsidR="000B45EC">
        <w:t>.</w:t>
      </w:r>
      <w:r w:rsidR="00D013F2">
        <w:t xml:space="preserve"> Pour les logement</w:t>
      </w:r>
      <w:r w:rsidR="00CD35E3">
        <w:t xml:space="preserve">s, </w:t>
      </w:r>
      <w:r w:rsidR="00D013F2">
        <w:t xml:space="preserve">il s’agit de la </w:t>
      </w:r>
      <w:r w:rsidR="00CD35E3">
        <w:t>période totale des mesures, en revanche pour les écoles et</w:t>
      </w:r>
      <w:r w:rsidR="00E86265">
        <w:t xml:space="preserve"> les</w:t>
      </w:r>
      <w:r w:rsidR="00CD35E3">
        <w:t xml:space="preserve"> bureaux il s’agit de la période d’occupation</w:t>
      </w:r>
      <w:r w:rsidR="00E86265">
        <w:t>.</w:t>
      </w:r>
    </w:p>
    <w:p w14:paraId="3674833D" w14:textId="2EDB96A6" w:rsidR="00430F1B" w:rsidRDefault="00430F1B">
      <w:pPr>
        <w:spacing w:after="0"/>
        <w:jc w:val="left"/>
      </w:pPr>
      <w:r>
        <w:br w:type="page"/>
      </w:r>
    </w:p>
    <w:p w14:paraId="579FFB76" w14:textId="79CC3419" w:rsidR="000B45EC" w:rsidRDefault="00514D4C" w:rsidP="00514D4C">
      <w:pPr>
        <w:pStyle w:val="Lgende"/>
      </w:pPr>
      <w:r>
        <w:lastRenderedPageBreak/>
        <w:t xml:space="preserve">Tableau </w:t>
      </w:r>
      <w:r>
        <w:fldChar w:fldCharType="begin"/>
      </w:r>
      <w:r>
        <w:instrText>SEQ Tableau \* ARABIC</w:instrText>
      </w:r>
      <w:r>
        <w:fldChar w:fldCharType="separate"/>
      </w:r>
      <w:r w:rsidR="009D178F">
        <w:rPr>
          <w:noProof/>
        </w:rPr>
        <w:t>4</w:t>
      </w:r>
      <w:r>
        <w:fldChar w:fldCharType="end"/>
      </w:r>
      <w:r>
        <w:t xml:space="preserve"> : Elaboration du critère NO</w:t>
      </w:r>
      <w:r w:rsidRPr="00514D4C">
        <w:rPr>
          <w:vertAlign w:val="subscript"/>
        </w:rPr>
        <w:t>2</w:t>
      </w:r>
    </w:p>
    <w:tbl>
      <w:tblPr>
        <w:tblW w:w="0" w:type="auto"/>
        <w:jc w:val="center"/>
        <w:tblCellMar>
          <w:left w:w="0" w:type="dxa"/>
          <w:right w:w="0" w:type="dxa"/>
        </w:tblCellMar>
        <w:tblLook w:val="0420" w:firstRow="1" w:lastRow="0" w:firstColumn="0" w:lastColumn="0" w:noHBand="0" w:noVBand="1"/>
      </w:tblPr>
      <w:tblGrid>
        <w:gridCol w:w="4339"/>
        <w:gridCol w:w="2394"/>
        <w:gridCol w:w="1467"/>
      </w:tblGrid>
      <w:tr w:rsidR="00514D4C" w:rsidRPr="00514D4C" w14:paraId="4B5078CF" w14:textId="77777777" w:rsidTr="00430F1B">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266CAE41" w14:textId="47F8266C" w:rsidR="00514D4C" w:rsidRPr="00514D4C" w:rsidRDefault="004B6E92" w:rsidP="00430F1B">
            <w:pPr>
              <w:pStyle w:val="tabgauchegras"/>
            </w:pPr>
            <w:r>
              <w:t>Au moins 90% des v</w:t>
            </w:r>
            <w:r w:rsidR="00514D4C" w:rsidRPr="00514D4C">
              <w:t xml:space="preserve">aleurs &lt; </w:t>
            </w:r>
            <w:r w:rsidR="00855809">
              <w:t>200 µg/m</w:t>
            </w:r>
            <w:r w:rsidR="00855809" w:rsidRPr="00855809">
              <w:rPr>
                <w:vertAlign w:val="superscript"/>
              </w:rPr>
              <w:t>3</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3265CC2E" w14:textId="439B61C2" w:rsidR="00514D4C" w:rsidRPr="00514D4C" w:rsidRDefault="00514D4C" w:rsidP="00430F1B">
            <w:pPr>
              <w:pStyle w:val="tabgauchegras"/>
            </w:pPr>
            <w:r w:rsidRPr="00514D4C">
              <w:t xml:space="preserve">Moyenne &lt; </w:t>
            </w:r>
            <w:r w:rsidR="00855809">
              <w:t>20 µg/m</w:t>
            </w:r>
            <w:r w:rsidR="00855809" w:rsidRPr="00855809">
              <w:rPr>
                <w:vertAlign w:val="superscript"/>
              </w:rPr>
              <w:t>3</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0656CF04" w14:textId="77777777" w:rsidR="00514D4C" w:rsidRPr="00514D4C" w:rsidRDefault="00514D4C" w:rsidP="00430F1B">
            <w:pPr>
              <w:pStyle w:val="tabcentregras"/>
            </w:pPr>
            <w:r w:rsidRPr="00514D4C">
              <w:t>Critère NO</w:t>
            </w:r>
            <w:r w:rsidRPr="00855809">
              <w:rPr>
                <w:vertAlign w:val="subscript"/>
              </w:rPr>
              <w:t>2</w:t>
            </w:r>
          </w:p>
        </w:tc>
      </w:tr>
      <w:tr w:rsidR="00514D4C" w:rsidRPr="00514D4C" w14:paraId="4F9595F3" w14:textId="77777777" w:rsidTr="00430F1B">
        <w:trPr>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69378B6B" w14:textId="77777777" w:rsidR="00514D4C" w:rsidRPr="00514D4C" w:rsidRDefault="00514D4C" w:rsidP="00430F1B">
            <w:pPr>
              <w:pStyle w:val="tabgauche"/>
            </w:pPr>
            <w:r w:rsidRPr="00514D4C">
              <w:t>Oui</w:t>
            </w:r>
          </w:p>
        </w:tc>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12EC6922" w14:textId="77777777" w:rsidR="00514D4C" w:rsidRPr="00514D4C" w:rsidRDefault="00514D4C" w:rsidP="00430F1B">
            <w:pPr>
              <w:pStyle w:val="tabgauche"/>
            </w:pPr>
            <w:r w:rsidRPr="00514D4C">
              <w:t>Oui</w:t>
            </w:r>
          </w:p>
        </w:tc>
        <w:tc>
          <w:tcPr>
            <w:tcW w:w="0" w:type="auto"/>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1289E7FD" w14:textId="77777777" w:rsidR="00514D4C" w:rsidRPr="00514D4C" w:rsidRDefault="00514D4C" w:rsidP="00430F1B">
            <w:pPr>
              <w:pStyle w:val="tabcentregras"/>
            </w:pPr>
            <w:r w:rsidRPr="00514D4C">
              <w:t>Bon</w:t>
            </w:r>
          </w:p>
        </w:tc>
      </w:tr>
      <w:tr w:rsidR="00514D4C" w:rsidRPr="00514D4C" w14:paraId="78E0C24F" w14:textId="77777777" w:rsidTr="00430F1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38A6583B" w14:textId="77777777" w:rsidR="00514D4C" w:rsidRPr="00514D4C" w:rsidRDefault="00514D4C" w:rsidP="00430F1B">
            <w:pPr>
              <w:pStyle w:val="tabgauche"/>
            </w:pPr>
            <w:r w:rsidRPr="00514D4C">
              <w:t>Oui</w:t>
            </w:r>
          </w:p>
        </w:tc>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609397D0" w14:textId="77777777" w:rsidR="00514D4C" w:rsidRPr="00514D4C" w:rsidRDefault="00514D4C" w:rsidP="00430F1B">
            <w:pPr>
              <w:pStyle w:val="tabgauche"/>
            </w:pPr>
            <w:r w:rsidRPr="00514D4C">
              <w:t>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1933F23D" w14:textId="77777777" w:rsidR="00514D4C" w:rsidRPr="00514D4C" w:rsidRDefault="00514D4C" w:rsidP="00430F1B">
            <w:pPr>
              <w:pStyle w:val="tabcentregras"/>
            </w:pPr>
            <w:r w:rsidRPr="00514D4C">
              <w:t>Mauvais</w:t>
            </w:r>
          </w:p>
        </w:tc>
      </w:tr>
      <w:tr w:rsidR="00514D4C" w:rsidRPr="00514D4C" w14:paraId="3588F5FC" w14:textId="77777777" w:rsidTr="00430F1B">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618B3AB9" w14:textId="77777777" w:rsidR="00514D4C" w:rsidRPr="00514D4C" w:rsidRDefault="00514D4C" w:rsidP="00430F1B">
            <w:pPr>
              <w:pStyle w:val="tabgauche"/>
            </w:pPr>
            <w:r w:rsidRPr="00514D4C">
              <w:t>Non</w:t>
            </w:r>
          </w:p>
        </w:tc>
        <w:tc>
          <w:tcPr>
            <w:tcW w:w="0" w:type="auto"/>
            <w:tcBorders>
              <w:top w:val="single" w:sz="8"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3558A5F2" w14:textId="2F82CCD0" w:rsidR="00514D4C" w:rsidRPr="00514D4C" w:rsidRDefault="00514D4C" w:rsidP="00430F1B">
            <w:pPr>
              <w:pStyle w:val="tabgauche"/>
            </w:pPr>
            <w:r w:rsidRPr="00514D4C">
              <w:t xml:space="preserve">Oui </w:t>
            </w:r>
            <w:r w:rsidR="00855809">
              <w:t>ou</w:t>
            </w:r>
            <w:r w:rsidRPr="00514D4C">
              <w:t xml:space="preserve"> 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24E30D7B" w14:textId="77777777" w:rsidR="00514D4C" w:rsidRPr="00514D4C" w:rsidRDefault="00514D4C" w:rsidP="00430F1B">
            <w:pPr>
              <w:pStyle w:val="tabcentregras"/>
            </w:pPr>
            <w:r w:rsidRPr="00514D4C">
              <w:t>Mauvais</w:t>
            </w:r>
          </w:p>
        </w:tc>
      </w:tr>
    </w:tbl>
    <w:p w14:paraId="26031098" w14:textId="77777777" w:rsidR="00AD0D45" w:rsidRDefault="00AD0D45" w:rsidP="00AD0D45"/>
    <w:p w14:paraId="5EA05C27" w14:textId="77777777" w:rsidR="00AD0D45" w:rsidRDefault="00AD0D45" w:rsidP="00AD0D45"/>
    <w:p w14:paraId="48FC2234" w14:textId="0EEF985D" w:rsidR="00AD0D45" w:rsidRDefault="00AD0D45" w:rsidP="00AD0D45">
      <w:pPr>
        <w:pStyle w:val="Titre2"/>
      </w:pPr>
      <w:bookmarkStart w:id="11" w:name="_Toc119641572"/>
      <w:r>
        <w:t>Détermination du critère PM</w:t>
      </w:r>
      <w:r w:rsidRPr="00AD0D45">
        <w:rPr>
          <w:vertAlign w:val="subscript"/>
        </w:rPr>
        <w:t>2,5</w:t>
      </w:r>
      <w:bookmarkEnd w:id="11"/>
    </w:p>
    <w:p w14:paraId="59EDE9A3" w14:textId="1BE11D9D" w:rsidR="00CA11D3" w:rsidRDefault="00D54FD0" w:rsidP="00D54FD0">
      <w:r>
        <w:t>Le critère PM</w:t>
      </w:r>
      <w:r w:rsidRPr="00D54FD0">
        <w:rPr>
          <w:vertAlign w:val="subscript"/>
        </w:rPr>
        <w:t>2,5</w:t>
      </w:r>
      <w:r>
        <w:t xml:space="preserve"> est construit sur le non-dépassement d’une valeur </w:t>
      </w:r>
      <w:r w:rsidR="001F1CC7">
        <w:t xml:space="preserve">de protection </w:t>
      </w:r>
      <w:r>
        <w:t xml:space="preserve">court terme </w:t>
      </w:r>
      <w:r w:rsidRPr="00C1165C">
        <w:t xml:space="preserve">de </w:t>
      </w:r>
      <w:r w:rsidR="008B2DE1" w:rsidRPr="00C1165C">
        <w:t>15</w:t>
      </w:r>
      <w:r w:rsidRPr="00C1165C">
        <w:t xml:space="preserve"> µg/m</w:t>
      </w:r>
      <w:r w:rsidRPr="00C1165C">
        <w:rPr>
          <w:vertAlign w:val="superscript"/>
        </w:rPr>
        <w:t>3</w:t>
      </w:r>
      <w:r w:rsidRPr="00C1165C">
        <w:t xml:space="preserve"> (</w:t>
      </w:r>
      <w:r w:rsidR="008B2DE1" w:rsidRPr="00C1165C">
        <w:t>OMS, 2021</w:t>
      </w:r>
      <w:r w:rsidRPr="00C1165C">
        <w:t xml:space="preserve">). </w:t>
      </w:r>
      <w:r w:rsidR="00CA11D3" w:rsidRPr="00C1165C">
        <w:t>Ce seuil est comparé à la moyenne des mesures sur 24h</w:t>
      </w:r>
      <w:r w:rsidR="001114F5" w:rsidRPr="00C1165C">
        <w:t>. Pour les</w:t>
      </w:r>
      <w:r w:rsidR="001114F5">
        <w:t xml:space="preserve"> logements, le calcul est basé sur la journée entière</w:t>
      </w:r>
      <w:r w:rsidR="00B24C64">
        <w:t>, en revanche pour les écoles et les bureaux, il est fait uniquement sur la période d’occupation</w:t>
      </w:r>
      <w:r w:rsidR="009058C8">
        <w:t xml:space="preserve"> (indiquée au paragraphe </w:t>
      </w:r>
      <w:r w:rsidR="009058C8">
        <w:fldChar w:fldCharType="begin"/>
      </w:r>
      <w:r w:rsidR="009058C8">
        <w:instrText xml:space="preserve"> REF _Ref116660227 \r \h </w:instrText>
      </w:r>
      <w:r w:rsidR="009058C8">
        <w:fldChar w:fldCharType="separate"/>
      </w:r>
      <w:r w:rsidR="009D178F">
        <w:t>2.1-</w:t>
      </w:r>
      <w:r w:rsidR="009058C8">
        <w:fldChar w:fldCharType="end"/>
      </w:r>
      <w:r w:rsidR="009058C8">
        <w:t>)</w:t>
      </w:r>
      <w:r w:rsidR="004F48C0">
        <w:t>. Pour que le critère soit « bon », aucune moyenne ne doit être supérieure au seuil.</w:t>
      </w:r>
    </w:p>
    <w:p w14:paraId="56CF320F" w14:textId="5038CA69" w:rsidR="00D54FD0" w:rsidRDefault="009B5AFF" w:rsidP="009B5AFF">
      <w:pPr>
        <w:pStyle w:val="Lgende"/>
      </w:pPr>
      <w:r>
        <w:t xml:space="preserve">Tableau </w:t>
      </w:r>
      <w:r>
        <w:fldChar w:fldCharType="begin"/>
      </w:r>
      <w:r>
        <w:instrText>SEQ Tableau \* ARABIC</w:instrText>
      </w:r>
      <w:r>
        <w:fldChar w:fldCharType="separate"/>
      </w:r>
      <w:r w:rsidR="009D178F">
        <w:rPr>
          <w:noProof/>
        </w:rPr>
        <w:t>5</w:t>
      </w:r>
      <w:r>
        <w:fldChar w:fldCharType="end"/>
      </w:r>
      <w:r>
        <w:t xml:space="preserve"> : Elaboration du critère PM</w:t>
      </w:r>
      <w:r w:rsidRPr="009B5AFF">
        <w:rPr>
          <w:vertAlign w:val="subscript"/>
        </w:rPr>
        <w:t>2,5</w:t>
      </w:r>
    </w:p>
    <w:tbl>
      <w:tblPr>
        <w:tblW w:w="0" w:type="auto"/>
        <w:jc w:val="center"/>
        <w:tblCellMar>
          <w:left w:w="0" w:type="dxa"/>
          <w:right w:w="0" w:type="dxa"/>
        </w:tblCellMar>
        <w:tblLook w:val="0420" w:firstRow="1" w:lastRow="0" w:firstColumn="0" w:lastColumn="0" w:noHBand="0" w:noVBand="1"/>
      </w:tblPr>
      <w:tblGrid>
        <w:gridCol w:w="2517"/>
        <w:gridCol w:w="1583"/>
      </w:tblGrid>
      <w:tr w:rsidR="00F678CC" w:rsidRPr="00F678CC" w14:paraId="1FF6631F" w14:textId="77777777" w:rsidTr="00F678CC">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50E6E0A4" w14:textId="203CA8F5" w:rsidR="00F678CC" w:rsidRPr="00F678CC" w:rsidRDefault="001E1220" w:rsidP="00F678CC">
            <w:pPr>
              <w:pStyle w:val="tabgauchegras"/>
            </w:pPr>
            <w:r>
              <w:t>Moyennes</w:t>
            </w:r>
            <w:r w:rsidR="00F678CC" w:rsidRPr="00F678CC">
              <w:t xml:space="preserve"> &lt; 15 µg/m</w:t>
            </w:r>
            <w:r w:rsidR="00F678CC" w:rsidRPr="00F678CC">
              <w:rPr>
                <w:vertAlign w:val="superscript"/>
              </w:rPr>
              <w:t>3</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4444D6EF" w14:textId="77777777" w:rsidR="00F678CC" w:rsidRPr="00F678CC" w:rsidRDefault="00F678CC" w:rsidP="00F678CC">
            <w:pPr>
              <w:pStyle w:val="tabcentregras"/>
            </w:pPr>
            <w:r w:rsidRPr="00F678CC">
              <w:t>Critère PM</w:t>
            </w:r>
            <w:r w:rsidRPr="001E1220">
              <w:rPr>
                <w:vertAlign w:val="subscript"/>
              </w:rPr>
              <w:t>2,5</w:t>
            </w:r>
          </w:p>
        </w:tc>
      </w:tr>
      <w:tr w:rsidR="00F678CC" w:rsidRPr="00F678CC" w14:paraId="3FD0E7EB" w14:textId="77777777" w:rsidTr="00F678CC">
        <w:trPr>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4A455D00" w14:textId="77777777" w:rsidR="00F678CC" w:rsidRPr="00F678CC" w:rsidRDefault="00F678CC" w:rsidP="00F678CC">
            <w:pPr>
              <w:pStyle w:val="tabgauche"/>
            </w:pPr>
            <w:r w:rsidRPr="00F678CC">
              <w:t>Oui</w:t>
            </w:r>
          </w:p>
        </w:tc>
        <w:tc>
          <w:tcPr>
            <w:tcW w:w="0" w:type="auto"/>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620DA071" w14:textId="77777777" w:rsidR="00F678CC" w:rsidRPr="00F678CC" w:rsidRDefault="00F678CC" w:rsidP="00F678CC">
            <w:pPr>
              <w:pStyle w:val="tabcentregras"/>
            </w:pPr>
            <w:r w:rsidRPr="00F678CC">
              <w:t>Bon</w:t>
            </w:r>
          </w:p>
        </w:tc>
      </w:tr>
      <w:tr w:rsidR="00F678CC" w:rsidRPr="00F678CC" w14:paraId="443FD56B" w14:textId="77777777" w:rsidTr="00F678CC">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4C5DE62E" w14:textId="77777777" w:rsidR="00F678CC" w:rsidRPr="00F678CC" w:rsidRDefault="00F678CC" w:rsidP="00F678CC">
            <w:pPr>
              <w:pStyle w:val="tabgauche"/>
            </w:pPr>
            <w:r w:rsidRPr="00F678CC">
              <w:t>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49545B50" w14:textId="77777777" w:rsidR="00F678CC" w:rsidRPr="00F678CC" w:rsidRDefault="00F678CC" w:rsidP="00F678CC">
            <w:pPr>
              <w:pStyle w:val="tabcentregras"/>
            </w:pPr>
            <w:r w:rsidRPr="00F678CC">
              <w:t>Mauvais</w:t>
            </w:r>
          </w:p>
        </w:tc>
      </w:tr>
    </w:tbl>
    <w:p w14:paraId="0DB83CDE" w14:textId="77777777" w:rsidR="00D53963" w:rsidRDefault="00D53963" w:rsidP="00FE7C99"/>
    <w:p w14:paraId="574D2752" w14:textId="77777777" w:rsidR="00CD35E3" w:rsidRDefault="00CD35E3" w:rsidP="00FE7C99"/>
    <w:p w14:paraId="4055999F" w14:textId="10E1FEBE" w:rsidR="00644B7D" w:rsidRDefault="00644B7D" w:rsidP="00644B7D">
      <w:pPr>
        <w:pStyle w:val="Titre2"/>
      </w:pPr>
      <w:bookmarkStart w:id="12" w:name="_Toc119641573"/>
      <w:r>
        <w:t>Détermination du critère Radon</w:t>
      </w:r>
      <w:bookmarkEnd w:id="12"/>
    </w:p>
    <w:p w14:paraId="2EF34E71" w14:textId="0B03CB2B" w:rsidR="00644B7D" w:rsidRDefault="00644B7D" w:rsidP="00644B7D">
      <w:r>
        <w:t>Le critère Radon est construit sur le non-dépassement d’une valeur</w:t>
      </w:r>
      <w:r w:rsidR="001F1CC7">
        <w:t xml:space="preserve"> de protection</w:t>
      </w:r>
      <w:r>
        <w:t xml:space="preserve"> </w:t>
      </w:r>
      <w:r w:rsidR="001F1CC7">
        <w:t>long</w:t>
      </w:r>
      <w:r>
        <w:t xml:space="preserve"> terme </w:t>
      </w:r>
      <w:r w:rsidRPr="00E6583F">
        <w:t xml:space="preserve">de </w:t>
      </w:r>
      <w:r w:rsidR="007B0D94" w:rsidRPr="00E6583F">
        <w:t>300 Bq/m</w:t>
      </w:r>
      <w:r w:rsidR="007B0D94" w:rsidRPr="00E6583F">
        <w:rPr>
          <w:vertAlign w:val="superscript"/>
        </w:rPr>
        <w:t>3</w:t>
      </w:r>
      <w:r w:rsidRPr="00E6583F">
        <w:t xml:space="preserve"> (</w:t>
      </w:r>
      <w:r w:rsidR="00E6583F" w:rsidRPr="00E6583F">
        <w:t>Décret n° 2018-434</w:t>
      </w:r>
      <w:r w:rsidR="00E6583F">
        <w:t>, 2018</w:t>
      </w:r>
      <w:r w:rsidRPr="00E6583F">
        <w:t xml:space="preserve">). Ce seuil est comparé à la </w:t>
      </w:r>
      <w:r w:rsidR="00AE4AED" w:rsidRPr="00E6583F">
        <w:t xml:space="preserve">mesure effectuée </w:t>
      </w:r>
      <w:r w:rsidR="002331C0" w:rsidRPr="00E6583F">
        <w:t>pendant 2</w:t>
      </w:r>
      <w:r w:rsidR="002331C0">
        <w:t xml:space="preserve"> mois minimum en période hivernale (période de chauffe)</w:t>
      </w:r>
      <w:r>
        <w:t>.</w:t>
      </w:r>
    </w:p>
    <w:p w14:paraId="3BD4F8AA" w14:textId="0243D73B" w:rsidR="001F1CC7" w:rsidRDefault="001F1CC7" w:rsidP="001F1CC7">
      <w:pPr>
        <w:pStyle w:val="Lgende"/>
      </w:pPr>
      <w:r>
        <w:t xml:space="preserve">Tableau </w:t>
      </w:r>
      <w:r>
        <w:fldChar w:fldCharType="begin"/>
      </w:r>
      <w:r>
        <w:instrText>SEQ Tableau \* ARABIC</w:instrText>
      </w:r>
      <w:r>
        <w:fldChar w:fldCharType="separate"/>
      </w:r>
      <w:r w:rsidR="009D178F">
        <w:rPr>
          <w:noProof/>
        </w:rPr>
        <w:t>6</w:t>
      </w:r>
      <w:r>
        <w:fldChar w:fldCharType="end"/>
      </w:r>
      <w:r>
        <w:t xml:space="preserve"> : Elaboration du critère Radon</w:t>
      </w:r>
    </w:p>
    <w:tbl>
      <w:tblPr>
        <w:tblW w:w="0" w:type="auto"/>
        <w:jc w:val="center"/>
        <w:tblCellMar>
          <w:left w:w="0" w:type="dxa"/>
          <w:right w:w="0" w:type="dxa"/>
        </w:tblCellMar>
        <w:tblLook w:val="0420" w:firstRow="1" w:lastRow="0" w:firstColumn="0" w:lastColumn="0" w:noHBand="0" w:noVBand="1"/>
      </w:tblPr>
      <w:tblGrid>
        <w:gridCol w:w="2366"/>
        <w:gridCol w:w="1743"/>
      </w:tblGrid>
      <w:tr w:rsidR="0064282E" w:rsidRPr="0064282E" w14:paraId="4C346F91" w14:textId="77777777" w:rsidTr="0064282E">
        <w:trPr>
          <w:jc w:val="center"/>
        </w:trPr>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5FB80A15" w14:textId="77777777" w:rsidR="0064282E" w:rsidRPr="0064282E" w:rsidRDefault="0064282E" w:rsidP="0064282E">
            <w:pPr>
              <w:pStyle w:val="tabgauchegras"/>
            </w:pPr>
            <w:r w:rsidRPr="0064282E">
              <w:t>Mesure &lt; 300 Bq/m</w:t>
            </w:r>
            <w:r w:rsidRPr="0064282E">
              <w:rPr>
                <w:vertAlign w:val="superscript"/>
              </w:rPr>
              <w:t>3</w:t>
            </w:r>
          </w:p>
        </w:tc>
        <w:tc>
          <w:tcPr>
            <w:tcW w:w="0" w:type="auto"/>
            <w:tcBorders>
              <w:top w:val="single" w:sz="8" w:space="0" w:color="FFFFFF"/>
              <w:left w:val="single" w:sz="8" w:space="0" w:color="FFFFFF"/>
              <w:bottom w:val="single" w:sz="24" w:space="0" w:color="FFFFFF"/>
              <w:right w:val="single" w:sz="8" w:space="0" w:color="FFFFFF"/>
            </w:tcBorders>
            <w:shd w:val="clear" w:color="auto" w:fill="8B6D4A"/>
            <w:tcMar>
              <w:top w:w="72" w:type="dxa"/>
              <w:left w:w="144" w:type="dxa"/>
              <w:bottom w:w="72" w:type="dxa"/>
              <w:right w:w="144" w:type="dxa"/>
            </w:tcMar>
            <w:vAlign w:val="center"/>
            <w:hideMark/>
          </w:tcPr>
          <w:p w14:paraId="32679E66" w14:textId="77777777" w:rsidR="0064282E" w:rsidRPr="0064282E" w:rsidRDefault="0064282E" w:rsidP="0064282E">
            <w:pPr>
              <w:pStyle w:val="tabcentregras"/>
            </w:pPr>
            <w:r w:rsidRPr="0064282E">
              <w:t>Critère Radon</w:t>
            </w:r>
          </w:p>
        </w:tc>
      </w:tr>
      <w:tr w:rsidR="0064282E" w:rsidRPr="0064282E" w14:paraId="1423EB8A" w14:textId="77777777" w:rsidTr="0064282E">
        <w:trPr>
          <w:jc w:val="center"/>
        </w:trPr>
        <w:tc>
          <w:tcPr>
            <w:tcW w:w="0" w:type="auto"/>
            <w:tcBorders>
              <w:top w:val="single" w:sz="24" w:space="0" w:color="FFFFFF"/>
              <w:left w:val="single" w:sz="8" w:space="0" w:color="FFFFFF"/>
              <w:bottom w:val="single" w:sz="8" w:space="0" w:color="FFFFFF"/>
              <w:right w:val="single" w:sz="8" w:space="0" w:color="FFFFFF"/>
            </w:tcBorders>
            <w:shd w:val="clear" w:color="auto" w:fill="DAD4D0"/>
            <w:tcMar>
              <w:top w:w="72" w:type="dxa"/>
              <w:left w:w="144" w:type="dxa"/>
              <w:bottom w:w="72" w:type="dxa"/>
              <w:right w:w="144" w:type="dxa"/>
            </w:tcMar>
            <w:vAlign w:val="center"/>
            <w:hideMark/>
          </w:tcPr>
          <w:p w14:paraId="12A8F694" w14:textId="77777777" w:rsidR="0064282E" w:rsidRPr="0064282E" w:rsidRDefault="0064282E" w:rsidP="0064282E">
            <w:pPr>
              <w:pStyle w:val="tabgauche"/>
            </w:pPr>
            <w:r w:rsidRPr="0064282E">
              <w:t>Oui</w:t>
            </w:r>
          </w:p>
        </w:tc>
        <w:tc>
          <w:tcPr>
            <w:tcW w:w="0" w:type="auto"/>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vAlign w:val="center"/>
            <w:hideMark/>
          </w:tcPr>
          <w:p w14:paraId="77084AA1" w14:textId="77777777" w:rsidR="0064282E" w:rsidRPr="0064282E" w:rsidRDefault="0064282E" w:rsidP="0064282E">
            <w:pPr>
              <w:pStyle w:val="tabcentregras"/>
            </w:pPr>
            <w:r w:rsidRPr="0064282E">
              <w:t>Bon</w:t>
            </w:r>
          </w:p>
        </w:tc>
      </w:tr>
      <w:tr w:rsidR="0064282E" w:rsidRPr="0064282E" w14:paraId="424E962F" w14:textId="77777777" w:rsidTr="0064282E">
        <w:trPr>
          <w:jc w:val="center"/>
        </w:trPr>
        <w:tc>
          <w:tcPr>
            <w:tcW w:w="0" w:type="auto"/>
            <w:tcBorders>
              <w:top w:val="single" w:sz="8" w:space="0" w:color="FFFFFF"/>
              <w:left w:val="single" w:sz="8" w:space="0" w:color="FFFFFF"/>
              <w:bottom w:val="single" w:sz="8" w:space="0" w:color="FFFFFF"/>
              <w:right w:val="single" w:sz="8" w:space="0" w:color="FFFFFF"/>
            </w:tcBorders>
            <w:shd w:val="clear" w:color="auto" w:fill="EEEBE9"/>
            <w:tcMar>
              <w:top w:w="72" w:type="dxa"/>
              <w:left w:w="144" w:type="dxa"/>
              <w:bottom w:w="72" w:type="dxa"/>
              <w:right w:w="144" w:type="dxa"/>
            </w:tcMar>
            <w:vAlign w:val="center"/>
            <w:hideMark/>
          </w:tcPr>
          <w:p w14:paraId="410FDA16" w14:textId="77777777" w:rsidR="0064282E" w:rsidRPr="0064282E" w:rsidRDefault="0064282E" w:rsidP="0064282E">
            <w:pPr>
              <w:pStyle w:val="tabgauche"/>
            </w:pPr>
            <w:r w:rsidRPr="0064282E">
              <w:t>Non</w:t>
            </w:r>
          </w:p>
        </w:tc>
        <w:tc>
          <w:tcPr>
            <w:tcW w:w="0" w:type="auto"/>
            <w:tcBorders>
              <w:top w:val="single" w:sz="8" w:space="0" w:color="FFFFFF"/>
              <w:left w:val="single" w:sz="8" w:space="0" w:color="FFFFFF"/>
              <w:bottom w:val="single" w:sz="8" w:space="0" w:color="FFFFFF"/>
              <w:right w:val="single" w:sz="8" w:space="0" w:color="FFFFFF"/>
            </w:tcBorders>
            <w:shd w:val="clear" w:color="auto" w:fill="C00000"/>
            <w:tcMar>
              <w:top w:w="72" w:type="dxa"/>
              <w:left w:w="144" w:type="dxa"/>
              <w:bottom w:w="72" w:type="dxa"/>
              <w:right w:w="144" w:type="dxa"/>
            </w:tcMar>
            <w:vAlign w:val="center"/>
            <w:hideMark/>
          </w:tcPr>
          <w:p w14:paraId="182E4660" w14:textId="77777777" w:rsidR="0064282E" w:rsidRPr="0064282E" w:rsidRDefault="0064282E" w:rsidP="0064282E">
            <w:pPr>
              <w:pStyle w:val="tabcentregras"/>
            </w:pPr>
            <w:r w:rsidRPr="0064282E">
              <w:t>Mauvais</w:t>
            </w:r>
          </w:p>
        </w:tc>
      </w:tr>
    </w:tbl>
    <w:p w14:paraId="4A3BB820" w14:textId="77777777" w:rsidR="00CD35E3" w:rsidRDefault="00CD35E3" w:rsidP="00FE7C99"/>
    <w:p w14:paraId="59B6263F" w14:textId="77777777" w:rsidR="00D53963" w:rsidRDefault="00D53963" w:rsidP="00FE7C99"/>
    <w:p w14:paraId="078E4F61" w14:textId="7339299A" w:rsidR="00D013EF" w:rsidRDefault="00D013EF">
      <w:pPr>
        <w:spacing w:after="0"/>
        <w:jc w:val="left"/>
      </w:pPr>
      <w:r>
        <w:br w:type="page"/>
      </w:r>
    </w:p>
    <w:p w14:paraId="72FDDD7F" w14:textId="47233A55" w:rsidR="00D53963" w:rsidRDefault="00D013EF" w:rsidP="00D013EF">
      <w:pPr>
        <w:pStyle w:val="Titre1"/>
      </w:pPr>
      <w:bookmarkStart w:id="13" w:name="_Toc119641574"/>
      <w:r>
        <w:lastRenderedPageBreak/>
        <w:t>Bibliographie</w:t>
      </w:r>
      <w:bookmarkEnd w:id="13"/>
    </w:p>
    <w:p w14:paraId="619FD31C" w14:textId="77777777" w:rsidR="00D013EF" w:rsidRDefault="00D013EF" w:rsidP="00FE7C99"/>
    <w:p w14:paraId="063C5A09" w14:textId="77777777" w:rsidR="00762640" w:rsidRDefault="00762640" w:rsidP="00FE7C99"/>
    <w:p w14:paraId="3EC50266" w14:textId="36362AB9" w:rsidR="00762640" w:rsidRDefault="00762640" w:rsidP="00FE7C99">
      <w:r>
        <w:t xml:space="preserve">ANSES. 2013. </w:t>
      </w:r>
      <w:r w:rsidR="00FC5F2E">
        <w:t>AVIS de l’Agence nationale de sécurité sanitaire de l’alimentation, de l’environnement et du travail relatif à la proposition de valeurs guides de qualité d’air intérieur pour le dioxyde d’azote.</w:t>
      </w:r>
    </w:p>
    <w:p w14:paraId="1F2853D4" w14:textId="77777777" w:rsidR="00762640" w:rsidRDefault="00762640" w:rsidP="00FE7C99"/>
    <w:p w14:paraId="4F1B5FE5" w14:textId="702F06E0" w:rsidR="00836304" w:rsidRDefault="00836304" w:rsidP="00836304">
      <w:r>
        <w:t xml:space="preserve">ANSES. 2018. AVIS de l’Agence nationale de sécurité sanitaire de l’alimentation, de l’environnement et du travail, relatif à la révision des valeurs de référence de l’Anses pour le formaldéhyde : valeurs limites d’exposition professionnelle (VLEP), </w:t>
      </w:r>
      <w:proofErr w:type="spellStart"/>
      <w:r>
        <w:t>derived</w:t>
      </w:r>
      <w:proofErr w:type="spellEnd"/>
      <w:r>
        <w:t xml:space="preserve"> no-</w:t>
      </w:r>
      <w:proofErr w:type="spellStart"/>
      <w:r>
        <w:t>effect</w:t>
      </w:r>
      <w:proofErr w:type="spellEnd"/>
      <w:r>
        <w:t xml:space="preserve"> </w:t>
      </w:r>
      <w:proofErr w:type="spellStart"/>
      <w:r>
        <w:t>levels</w:t>
      </w:r>
      <w:proofErr w:type="spellEnd"/>
      <w:r>
        <w:t xml:space="preserve"> pour les professionnels (DNEL), valeurs toxicologiques de référence (VTR) et valeurs guides de qualité d’air intérieur (VGAI).</w:t>
      </w:r>
    </w:p>
    <w:p w14:paraId="7FFD6AFD" w14:textId="77777777" w:rsidR="00D013EF" w:rsidRDefault="00D013EF" w:rsidP="00836304"/>
    <w:p w14:paraId="049774AE" w14:textId="0E85FA4D" w:rsidR="00FE6E76" w:rsidRPr="00FE6E76" w:rsidRDefault="000671B9" w:rsidP="00FE6E76">
      <w:r w:rsidRPr="00FE6E76">
        <w:t>Décret n° 2011- 1728 du 2 décembre 2011</w:t>
      </w:r>
      <w:r w:rsidR="00FE6E76" w:rsidRPr="00FE6E76">
        <w:t xml:space="preserve"> relatif à la surveillance de la qualité de l'air intérieur dans certains établissements recevant du public</w:t>
      </w:r>
      <w:r w:rsidR="00FE6E76">
        <w:t>.</w:t>
      </w:r>
    </w:p>
    <w:p w14:paraId="0CF94CDB" w14:textId="4163EC56" w:rsidR="00D013EF" w:rsidRDefault="00D013EF" w:rsidP="00836304">
      <w:pPr>
        <w:rPr>
          <w:bCs/>
          <w:iCs/>
        </w:rPr>
      </w:pPr>
    </w:p>
    <w:p w14:paraId="2764F054" w14:textId="06ADE2E2" w:rsidR="003C3972" w:rsidRPr="003C3972" w:rsidRDefault="003C3972" w:rsidP="003C3972">
      <w:r w:rsidRPr="003C3972">
        <w:t>Décret n° 2018-434 du 4 juin 2018 portant diverses dispositions en matière nucléaire</w:t>
      </w:r>
      <w:r w:rsidR="001A735A">
        <w:t>.</w:t>
      </w:r>
    </w:p>
    <w:p w14:paraId="599625A5" w14:textId="77777777" w:rsidR="00836304" w:rsidRPr="00683202" w:rsidRDefault="00836304" w:rsidP="00836304">
      <w:pPr>
        <w:rPr>
          <w:bCs/>
          <w:iCs/>
        </w:rPr>
      </w:pPr>
    </w:p>
    <w:p w14:paraId="2D5DA01B" w14:textId="1A11091F" w:rsidR="00683202" w:rsidRPr="00890487" w:rsidRDefault="00683202" w:rsidP="00836304">
      <w:pPr>
        <w:rPr>
          <w:bCs/>
          <w:iCs/>
          <w:lang w:val="en-US"/>
        </w:rPr>
      </w:pPr>
      <w:r w:rsidRPr="00890487">
        <w:rPr>
          <w:bCs/>
          <w:iCs/>
          <w:lang w:val="en-US"/>
        </w:rPr>
        <w:t>OMS. ‎2021‎. WHO global air quality guidelines: particulate matter (‎PM2.5 and PM10)‎, ozone, nitrogen dioxide, sulfur dioxide and carbon monoxide. World Health Organization. </w:t>
      </w:r>
      <w:hyperlink r:id="rId14" w:history="1">
        <w:r w:rsidRPr="00890487">
          <w:rPr>
            <w:bCs/>
            <w:iCs/>
            <w:lang w:val="en-US"/>
          </w:rPr>
          <w:t>https://apps.who.int/iris/handle/10665/345329</w:t>
        </w:r>
      </w:hyperlink>
      <w:r w:rsidRPr="00890487">
        <w:rPr>
          <w:bCs/>
          <w:iCs/>
          <w:lang w:val="en-US"/>
        </w:rPr>
        <w:t xml:space="preserve">. </w:t>
      </w:r>
      <w:proofErr w:type="spellStart"/>
      <w:r w:rsidRPr="00890487">
        <w:rPr>
          <w:bCs/>
          <w:iCs/>
          <w:lang w:val="en-US"/>
        </w:rPr>
        <w:t>Licence</w:t>
      </w:r>
      <w:proofErr w:type="spellEnd"/>
      <w:r w:rsidRPr="00890487">
        <w:rPr>
          <w:bCs/>
          <w:iCs/>
          <w:lang w:val="en-US"/>
        </w:rPr>
        <w:t>: CC BY-NC-SA 3.0 IGO</w:t>
      </w:r>
      <w:r w:rsidR="00E6583F" w:rsidRPr="00890487">
        <w:rPr>
          <w:bCs/>
          <w:iCs/>
          <w:lang w:val="en-US"/>
        </w:rPr>
        <w:t>.</w:t>
      </w:r>
    </w:p>
    <w:p w14:paraId="4747D515" w14:textId="77777777" w:rsidR="00683202" w:rsidRPr="00683202" w:rsidRDefault="00683202" w:rsidP="00836304">
      <w:pPr>
        <w:rPr>
          <w:lang w:val="en-US"/>
        </w:rPr>
      </w:pPr>
    </w:p>
    <w:p w14:paraId="78B0E84F" w14:textId="1D7E8716" w:rsidR="000B7063" w:rsidRDefault="00175265" w:rsidP="00836304">
      <w:pPr>
        <w:rPr>
          <w:bCs/>
          <w:iCs/>
        </w:rPr>
      </w:pPr>
      <w:r>
        <w:rPr>
          <w:bCs/>
          <w:iCs/>
        </w:rPr>
        <w:t xml:space="preserve">RSDT. 1975. </w:t>
      </w:r>
      <w:r>
        <w:t xml:space="preserve">Règlement Sanitaire Départemental relatif </w:t>
      </w:r>
      <w:r w:rsidR="00B758EB">
        <w:t>à la réac</w:t>
      </w:r>
      <w:r w:rsidR="000B7063">
        <w:rPr>
          <w:bCs/>
          <w:iCs/>
        </w:rPr>
        <w:t>tualisation du seuil de</w:t>
      </w:r>
      <w:r w:rsidR="00B758EB">
        <w:rPr>
          <w:bCs/>
          <w:iCs/>
        </w:rPr>
        <w:t xml:space="preserve"> CO</w:t>
      </w:r>
      <w:r w:rsidR="00B758EB" w:rsidRPr="00B758EB">
        <w:rPr>
          <w:bCs/>
          <w:iCs/>
          <w:vertAlign w:val="subscript"/>
        </w:rPr>
        <w:t>2</w:t>
      </w:r>
      <w:r w:rsidR="000B7063">
        <w:rPr>
          <w:bCs/>
          <w:iCs/>
        </w:rPr>
        <w:t xml:space="preserve"> dans les locaux tertiaires</w:t>
      </w:r>
      <w:r w:rsidR="00E6583F">
        <w:rPr>
          <w:bCs/>
          <w:iCs/>
        </w:rPr>
        <w:t>.</w:t>
      </w:r>
    </w:p>
    <w:p w14:paraId="2EFCF31F" w14:textId="77777777" w:rsidR="00D013EF" w:rsidRDefault="00D013EF" w:rsidP="00FE7C99"/>
    <w:p w14:paraId="7884596B" w14:textId="77777777" w:rsidR="00D013EF" w:rsidRDefault="00D013EF" w:rsidP="00FE7C99"/>
    <w:sectPr w:rsidR="00D013EF" w:rsidSect="00057613">
      <w:pgSz w:w="11906" w:h="16838" w:code="9"/>
      <w:pgMar w:top="851" w:right="1418" w:bottom="567"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A90F3" w14:textId="77777777" w:rsidR="00F03B5D" w:rsidRDefault="00F03B5D" w:rsidP="00955702">
      <w:r>
        <w:separator/>
      </w:r>
    </w:p>
  </w:endnote>
  <w:endnote w:type="continuationSeparator" w:id="0">
    <w:p w14:paraId="16171FE6" w14:textId="77777777" w:rsidR="00F03B5D" w:rsidRDefault="00F03B5D" w:rsidP="00955702">
      <w:r>
        <w:continuationSeparator/>
      </w:r>
    </w:p>
  </w:endnote>
  <w:endnote w:type="continuationNotice" w:id="1">
    <w:p w14:paraId="067A7C22" w14:textId="77777777" w:rsidR="00F03B5D" w:rsidRDefault="00F03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JournalBook">
    <w:altName w:val="Calibri"/>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4068"/>
      <w:gridCol w:w="1972"/>
    </w:tblGrid>
    <w:tr w:rsidR="003D761B" w14:paraId="1E812CE4" w14:textId="77777777" w:rsidTr="005B6886">
      <w:tc>
        <w:tcPr>
          <w:tcW w:w="3020" w:type="dxa"/>
        </w:tcPr>
        <w:p w14:paraId="378A36DB" w14:textId="77777777" w:rsidR="003D761B" w:rsidRDefault="003D761B" w:rsidP="003D761B">
          <w:pPr>
            <w:pStyle w:val="Pieddepage"/>
            <w:rPr>
              <w:sz w:val="16"/>
              <w:szCs w:val="16"/>
            </w:rPr>
          </w:pPr>
          <w:r>
            <w:rPr>
              <w:noProof/>
              <w:sz w:val="16"/>
              <w:szCs w:val="16"/>
            </w:rPr>
            <w:drawing>
              <wp:inline distT="0" distB="0" distL="0" distR="0" wp14:anchorId="5CA3EC5C" wp14:editId="17AF74D8">
                <wp:extent cx="1602803" cy="448785"/>
                <wp:effectExtent l="0" t="0" r="0" b="889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767" cy="474255"/>
                        </a:xfrm>
                        <a:prstGeom prst="rect">
                          <a:avLst/>
                        </a:prstGeom>
                        <a:noFill/>
                      </pic:spPr>
                    </pic:pic>
                  </a:graphicData>
                </a:graphic>
              </wp:inline>
            </w:drawing>
          </w:r>
        </w:p>
      </w:tc>
      <w:tc>
        <w:tcPr>
          <w:tcW w:w="4068" w:type="dxa"/>
          <w:vAlign w:val="center"/>
        </w:tcPr>
        <w:p w14:paraId="4C673850" w14:textId="77777777" w:rsidR="003D761B" w:rsidRDefault="003D761B" w:rsidP="003D761B">
          <w:pPr>
            <w:pStyle w:val="Pieddepage"/>
            <w:jc w:val="center"/>
            <w:rPr>
              <w:sz w:val="16"/>
              <w:szCs w:val="16"/>
            </w:rPr>
          </w:pPr>
          <w:r>
            <w:rPr>
              <w:sz w:val="16"/>
              <w:szCs w:val="16"/>
            </w:rPr>
            <w:t>Document confidentiel à l’usage exclusif des utilisateurs de la méthode QSE</w:t>
          </w:r>
        </w:p>
      </w:tc>
      <w:tc>
        <w:tcPr>
          <w:tcW w:w="1972" w:type="dxa"/>
        </w:tcPr>
        <w:p w14:paraId="2EE83D37" w14:textId="77777777" w:rsidR="003D761B" w:rsidRDefault="003D761B" w:rsidP="003D761B">
          <w:pPr>
            <w:pStyle w:val="Pieddepage"/>
            <w:jc w:val="right"/>
            <w:rPr>
              <w:sz w:val="16"/>
              <w:szCs w:val="16"/>
            </w:rPr>
          </w:pPr>
          <w:r>
            <w:rPr>
              <w:noProof/>
              <w:sz w:val="16"/>
              <w:szCs w:val="16"/>
            </w:rPr>
            <w:drawing>
              <wp:inline distT="0" distB="0" distL="0" distR="0" wp14:anchorId="412239C4" wp14:editId="590EEFFD">
                <wp:extent cx="1029868" cy="424306"/>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253" cy="429821"/>
                        </a:xfrm>
                        <a:prstGeom prst="rect">
                          <a:avLst/>
                        </a:prstGeom>
                        <a:noFill/>
                      </pic:spPr>
                    </pic:pic>
                  </a:graphicData>
                </a:graphic>
              </wp:inline>
            </w:drawing>
          </w:r>
        </w:p>
      </w:tc>
    </w:tr>
  </w:tbl>
  <w:p w14:paraId="28C74860" w14:textId="314B79BE" w:rsidR="009F7DD6" w:rsidRPr="003D761B" w:rsidRDefault="009F7DD6" w:rsidP="003D761B">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77C8F" w14:textId="77777777" w:rsidR="00F03B5D" w:rsidRDefault="00F03B5D" w:rsidP="00955702">
      <w:r>
        <w:separator/>
      </w:r>
    </w:p>
  </w:footnote>
  <w:footnote w:type="continuationSeparator" w:id="0">
    <w:p w14:paraId="28FCF577" w14:textId="77777777" w:rsidR="00F03B5D" w:rsidRDefault="00F03B5D" w:rsidP="00955702">
      <w:r>
        <w:continuationSeparator/>
      </w:r>
    </w:p>
  </w:footnote>
  <w:footnote w:type="continuationNotice" w:id="1">
    <w:p w14:paraId="3A67F9D8" w14:textId="77777777" w:rsidR="00F03B5D" w:rsidRDefault="00F03B5D"/>
  </w:footnote>
  <w:footnote w:id="2">
    <w:p w14:paraId="4F78FFCE" w14:textId="47B934F3" w:rsidR="00EA52B8" w:rsidRDefault="00EA52B8">
      <w:pPr>
        <w:pStyle w:val="Notedebasdepage"/>
      </w:pPr>
      <w:r>
        <w:rPr>
          <w:rStyle w:val="Appelnotedebasdep"/>
        </w:rPr>
        <w:footnoteRef/>
      </w:r>
      <w:r>
        <w:t xml:space="preserve"> Moyenne des mesures calculée sur une heure.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3" w:type="dxa"/>
      <w:tblLook w:val="01E0" w:firstRow="1" w:lastRow="1" w:firstColumn="1" w:lastColumn="1" w:noHBand="0" w:noVBand="0"/>
    </w:tblPr>
    <w:tblGrid>
      <w:gridCol w:w="2291"/>
      <w:gridCol w:w="5812"/>
      <w:gridCol w:w="1380"/>
    </w:tblGrid>
    <w:tr w:rsidR="00961205" w14:paraId="3E8FF2A5" w14:textId="77777777" w:rsidTr="00DB6612">
      <w:trPr>
        <w:trHeight w:val="1124"/>
      </w:trPr>
      <w:tc>
        <w:tcPr>
          <w:tcW w:w="2291" w:type="dxa"/>
          <w:vAlign w:val="center"/>
        </w:tcPr>
        <w:p w14:paraId="32F2F216" w14:textId="7F59DAE0" w:rsidR="00961205" w:rsidRDefault="00D407B1" w:rsidP="00DB6612">
          <w:pPr>
            <w:pStyle w:val="En-tte"/>
            <w:jc w:val="center"/>
          </w:pPr>
          <w:r>
            <w:rPr>
              <w:noProof/>
            </w:rPr>
            <w:drawing>
              <wp:inline distT="0" distB="0" distL="0" distR="0" wp14:anchorId="352ECF0B" wp14:editId="5FC9A2A6">
                <wp:extent cx="465615" cy="551021"/>
                <wp:effectExtent l="0" t="0" r="0" b="190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561" cy="561608"/>
                        </a:xfrm>
                        <a:prstGeom prst="rect">
                          <a:avLst/>
                        </a:prstGeom>
                      </pic:spPr>
                    </pic:pic>
                  </a:graphicData>
                </a:graphic>
              </wp:inline>
            </w:drawing>
          </w:r>
        </w:p>
      </w:tc>
      <w:tc>
        <w:tcPr>
          <w:tcW w:w="5812" w:type="dxa"/>
          <w:vAlign w:val="center"/>
        </w:tcPr>
        <w:p w14:paraId="55A3119F" w14:textId="77777777" w:rsidR="00A560DE" w:rsidRDefault="00A560DE" w:rsidP="00703136">
          <w:pPr>
            <w:jc w:val="center"/>
          </w:pPr>
          <w:r>
            <w:t>METHODE QSE</w:t>
          </w:r>
        </w:p>
        <w:p w14:paraId="3C3BBB9C" w14:textId="4BB03A27" w:rsidR="00961205" w:rsidRDefault="0032210A" w:rsidP="00703136">
          <w:pPr>
            <w:jc w:val="center"/>
          </w:pPr>
          <w:r>
            <w:t>CALCUL D</w:t>
          </w:r>
          <w:r w:rsidR="00444568">
            <w:t>E L’</w:t>
          </w:r>
          <w:r>
            <w:t>INDICE QAI</w:t>
          </w:r>
          <w:r w:rsidR="00444568">
            <w:t xml:space="preserve"> (hors risque moisissure)</w:t>
          </w:r>
        </w:p>
      </w:tc>
      <w:tc>
        <w:tcPr>
          <w:tcW w:w="1380" w:type="dxa"/>
          <w:vAlign w:val="center"/>
        </w:tcPr>
        <w:p w14:paraId="5A991A39" w14:textId="77777777" w:rsidR="00961205" w:rsidRPr="00961205" w:rsidRDefault="00961205" w:rsidP="00955702">
          <w:pPr>
            <w:pStyle w:val="En-tte"/>
          </w:pPr>
          <w:r w:rsidRPr="00961205">
            <w:t xml:space="preserve">P </w:t>
          </w:r>
          <w:r w:rsidRPr="00961205">
            <w:rPr>
              <w:rStyle w:val="Numrodepage"/>
              <w:rFonts w:cstheme="minorHAnsi"/>
            </w:rPr>
            <w:fldChar w:fldCharType="begin"/>
          </w:r>
          <w:r w:rsidRPr="00961205">
            <w:rPr>
              <w:rStyle w:val="Numrodepage"/>
              <w:rFonts w:cstheme="minorHAnsi"/>
            </w:rPr>
            <w:instrText xml:space="preserve"> PAGE </w:instrText>
          </w:r>
          <w:r w:rsidRPr="00961205">
            <w:rPr>
              <w:rStyle w:val="Numrodepage"/>
              <w:rFonts w:cstheme="minorHAnsi"/>
            </w:rPr>
            <w:fldChar w:fldCharType="separate"/>
          </w:r>
          <w:r w:rsidRPr="00961205">
            <w:rPr>
              <w:rStyle w:val="Numrodepage"/>
              <w:rFonts w:cstheme="minorHAnsi"/>
              <w:noProof/>
            </w:rPr>
            <w:t>3</w:t>
          </w:r>
          <w:r w:rsidRPr="00961205">
            <w:rPr>
              <w:rStyle w:val="Numrodepage"/>
              <w:rFonts w:cstheme="minorHAnsi"/>
            </w:rPr>
            <w:fldChar w:fldCharType="end"/>
          </w:r>
          <w:r w:rsidRPr="00961205">
            <w:rPr>
              <w:rStyle w:val="Numrodepage"/>
              <w:rFonts w:cstheme="minorHAnsi"/>
            </w:rPr>
            <w:t>/</w:t>
          </w:r>
          <w:r w:rsidRPr="00961205">
            <w:rPr>
              <w:rStyle w:val="Numrodepage"/>
              <w:rFonts w:cstheme="minorHAnsi"/>
            </w:rPr>
            <w:fldChar w:fldCharType="begin"/>
          </w:r>
          <w:r w:rsidRPr="00961205">
            <w:rPr>
              <w:rStyle w:val="Numrodepage"/>
              <w:rFonts w:cstheme="minorHAnsi"/>
            </w:rPr>
            <w:instrText xml:space="preserve"> NUMPAGES </w:instrText>
          </w:r>
          <w:r w:rsidRPr="00961205">
            <w:rPr>
              <w:rStyle w:val="Numrodepage"/>
              <w:rFonts w:cstheme="minorHAnsi"/>
            </w:rPr>
            <w:fldChar w:fldCharType="separate"/>
          </w:r>
          <w:r w:rsidRPr="00961205">
            <w:rPr>
              <w:rStyle w:val="Numrodepage"/>
              <w:rFonts w:cstheme="minorHAnsi"/>
              <w:noProof/>
            </w:rPr>
            <w:t>32</w:t>
          </w:r>
          <w:r w:rsidRPr="00961205">
            <w:rPr>
              <w:rStyle w:val="Numrodepage"/>
              <w:rFonts w:cstheme="minorHAnsi"/>
            </w:rPr>
            <w:fldChar w:fldCharType="end"/>
          </w:r>
        </w:p>
      </w:tc>
    </w:tr>
  </w:tbl>
  <w:p w14:paraId="335C7A09" w14:textId="77777777" w:rsidR="009F7DD6" w:rsidRDefault="009F7DD6" w:rsidP="009557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8A4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249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CE8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2A5F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C4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1295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9A0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1266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BCD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CA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46B5B"/>
    <w:multiLevelType w:val="hybridMultilevel"/>
    <w:tmpl w:val="C41015F6"/>
    <w:lvl w:ilvl="0" w:tplc="ABAC7164">
      <w:start w:val="1"/>
      <w:numFmt w:val="decimal"/>
      <w:lvlText w:val="%1-"/>
      <w:lvlJc w:val="left"/>
      <w:pPr>
        <w:ind w:left="1036" w:hanging="360"/>
      </w:pPr>
      <w:rPr>
        <w:rFonts w:hint="default"/>
      </w:r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11" w15:restartNumberingAfterBreak="0">
    <w:nsid w:val="0B723E29"/>
    <w:multiLevelType w:val="hybridMultilevel"/>
    <w:tmpl w:val="CFC08672"/>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C5C503F"/>
    <w:multiLevelType w:val="hybridMultilevel"/>
    <w:tmpl w:val="0BEE129A"/>
    <w:lvl w:ilvl="0" w:tplc="43DCC4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C60768F"/>
    <w:multiLevelType w:val="hybridMultilevel"/>
    <w:tmpl w:val="2D4E731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1D602D19"/>
    <w:multiLevelType w:val="hybridMultilevel"/>
    <w:tmpl w:val="942E5416"/>
    <w:lvl w:ilvl="0" w:tplc="04B057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797DAB"/>
    <w:multiLevelType w:val="hybridMultilevel"/>
    <w:tmpl w:val="0818C1D6"/>
    <w:lvl w:ilvl="0" w:tplc="E806C7C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FE35AC"/>
    <w:multiLevelType w:val="hybridMultilevel"/>
    <w:tmpl w:val="8750894A"/>
    <w:lvl w:ilvl="0" w:tplc="86AE3F8E">
      <w:start w:val="1"/>
      <w:numFmt w:val="bullet"/>
      <w:lvlText w:val=""/>
      <w:lvlJc w:val="left"/>
      <w:pPr>
        <w:tabs>
          <w:tab w:val="num" w:pos="720"/>
        </w:tabs>
        <w:ind w:left="720" w:hanging="360"/>
      </w:pPr>
      <w:rPr>
        <w:rFonts w:ascii="Symbol" w:hAnsi="Symbol" w:hint="default"/>
      </w:rPr>
    </w:lvl>
    <w:lvl w:ilvl="1" w:tplc="B0E6096C">
      <w:numFmt w:val="bullet"/>
      <w:lvlText w:val=""/>
      <w:lvlJc w:val="left"/>
      <w:pPr>
        <w:tabs>
          <w:tab w:val="num" w:pos="1440"/>
        </w:tabs>
        <w:ind w:left="1440" w:hanging="360"/>
      </w:pPr>
      <w:rPr>
        <w:rFonts w:ascii="Symbol" w:hAnsi="Symbol" w:hint="default"/>
      </w:rPr>
    </w:lvl>
    <w:lvl w:ilvl="2" w:tplc="C89C9918" w:tentative="1">
      <w:start w:val="1"/>
      <w:numFmt w:val="bullet"/>
      <w:lvlText w:val=""/>
      <w:lvlJc w:val="left"/>
      <w:pPr>
        <w:tabs>
          <w:tab w:val="num" w:pos="2160"/>
        </w:tabs>
        <w:ind w:left="2160" w:hanging="360"/>
      </w:pPr>
      <w:rPr>
        <w:rFonts w:ascii="Symbol" w:hAnsi="Symbol" w:hint="default"/>
      </w:rPr>
    </w:lvl>
    <w:lvl w:ilvl="3" w:tplc="B824B516" w:tentative="1">
      <w:start w:val="1"/>
      <w:numFmt w:val="bullet"/>
      <w:lvlText w:val=""/>
      <w:lvlJc w:val="left"/>
      <w:pPr>
        <w:tabs>
          <w:tab w:val="num" w:pos="2880"/>
        </w:tabs>
        <w:ind w:left="2880" w:hanging="360"/>
      </w:pPr>
      <w:rPr>
        <w:rFonts w:ascii="Symbol" w:hAnsi="Symbol" w:hint="default"/>
      </w:rPr>
    </w:lvl>
    <w:lvl w:ilvl="4" w:tplc="8CF4CF38" w:tentative="1">
      <w:start w:val="1"/>
      <w:numFmt w:val="bullet"/>
      <w:lvlText w:val=""/>
      <w:lvlJc w:val="left"/>
      <w:pPr>
        <w:tabs>
          <w:tab w:val="num" w:pos="3600"/>
        </w:tabs>
        <w:ind w:left="3600" w:hanging="360"/>
      </w:pPr>
      <w:rPr>
        <w:rFonts w:ascii="Symbol" w:hAnsi="Symbol" w:hint="default"/>
      </w:rPr>
    </w:lvl>
    <w:lvl w:ilvl="5" w:tplc="315E715E" w:tentative="1">
      <w:start w:val="1"/>
      <w:numFmt w:val="bullet"/>
      <w:lvlText w:val=""/>
      <w:lvlJc w:val="left"/>
      <w:pPr>
        <w:tabs>
          <w:tab w:val="num" w:pos="4320"/>
        </w:tabs>
        <w:ind w:left="4320" w:hanging="360"/>
      </w:pPr>
      <w:rPr>
        <w:rFonts w:ascii="Symbol" w:hAnsi="Symbol" w:hint="default"/>
      </w:rPr>
    </w:lvl>
    <w:lvl w:ilvl="6" w:tplc="B18237F6" w:tentative="1">
      <w:start w:val="1"/>
      <w:numFmt w:val="bullet"/>
      <w:lvlText w:val=""/>
      <w:lvlJc w:val="left"/>
      <w:pPr>
        <w:tabs>
          <w:tab w:val="num" w:pos="5040"/>
        </w:tabs>
        <w:ind w:left="5040" w:hanging="360"/>
      </w:pPr>
      <w:rPr>
        <w:rFonts w:ascii="Symbol" w:hAnsi="Symbol" w:hint="default"/>
      </w:rPr>
    </w:lvl>
    <w:lvl w:ilvl="7" w:tplc="349EEAF4" w:tentative="1">
      <w:start w:val="1"/>
      <w:numFmt w:val="bullet"/>
      <w:lvlText w:val=""/>
      <w:lvlJc w:val="left"/>
      <w:pPr>
        <w:tabs>
          <w:tab w:val="num" w:pos="5760"/>
        </w:tabs>
        <w:ind w:left="5760" w:hanging="360"/>
      </w:pPr>
      <w:rPr>
        <w:rFonts w:ascii="Symbol" w:hAnsi="Symbol" w:hint="default"/>
      </w:rPr>
    </w:lvl>
    <w:lvl w:ilvl="8" w:tplc="2AF205D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C861379"/>
    <w:multiLevelType w:val="hybridMultilevel"/>
    <w:tmpl w:val="069E3796"/>
    <w:lvl w:ilvl="0" w:tplc="0D4C7F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7300CA"/>
    <w:multiLevelType w:val="hybridMultilevel"/>
    <w:tmpl w:val="CC30F3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471A23"/>
    <w:multiLevelType w:val="hybridMultilevel"/>
    <w:tmpl w:val="FC028418"/>
    <w:lvl w:ilvl="0" w:tplc="E9424D2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EB1A3F"/>
    <w:multiLevelType w:val="hybridMultilevel"/>
    <w:tmpl w:val="D28E38BE"/>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70279D"/>
    <w:multiLevelType w:val="hybridMultilevel"/>
    <w:tmpl w:val="5364BACE"/>
    <w:lvl w:ilvl="0" w:tplc="ABAC71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812B25"/>
    <w:multiLevelType w:val="hybridMultilevel"/>
    <w:tmpl w:val="C958C412"/>
    <w:lvl w:ilvl="0" w:tplc="96B2C6AC">
      <w:start w:val="1"/>
      <w:numFmt w:val="bullet"/>
      <w:lvlText w:val=""/>
      <w:lvlJc w:val="left"/>
      <w:pPr>
        <w:tabs>
          <w:tab w:val="num" w:pos="720"/>
        </w:tabs>
        <w:ind w:left="720" w:hanging="360"/>
      </w:pPr>
      <w:rPr>
        <w:rFonts w:ascii="Symbol" w:hAnsi="Symbol" w:hint="default"/>
      </w:rPr>
    </w:lvl>
    <w:lvl w:ilvl="1" w:tplc="6E94810A">
      <w:start w:val="1"/>
      <w:numFmt w:val="bullet"/>
      <w:lvlText w:val=""/>
      <w:lvlJc w:val="left"/>
      <w:pPr>
        <w:tabs>
          <w:tab w:val="num" w:pos="1440"/>
        </w:tabs>
        <w:ind w:left="1440" w:hanging="360"/>
      </w:pPr>
      <w:rPr>
        <w:rFonts w:ascii="Symbol" w:hAnsi="Symbol" w:hint="default"/>
      </w:rPr>
    </w:lvl>
    <w:lvl w:ilvl="2" w:tplc="FF5631A8">
      <w:numFmt w:val="bullet"/>
      <w:lvlText w:val=""/>
      <w:lvlJc w:val="left"/>
      <w:pPr>
        <w:tabs>
          <w:tab w:val="num" w:pos="2160"/>
        </w:tabs>
        <w:ind w:left="2160" w:hanging="360"/>
      </w:pPr>
      <w:rPr>
        <w:rFonts w:ascii="Symbol" w:hAnsi="Symbol" w:hint="default"/>
      </w:rPr>
    </w:lvl>
    <w:lvl w:ilvl="3" w:tplc="7FC293F2">
      <w:numFmt w:val="bullet"/>
      <w:lvlText w:val=""/>
      <w:lvlJc w:val="left"/>
      <w:pPr>
        <w:tabs>
          <w:tab w:val="num" w:pos="2880"/>
        </w:tabs>
        <w:ind w:left="2880" w:hanging="360"/>
      </w:pPr>
      <w:rPr>
        <w:rFonts w:ascii="Symbol" w:hAnsi="Symbol" w:hint="default"/>
      </w:rPr>
    </w:lvl>
    <w:lvl w:ilvl="4" w:tplc="3634E07A" w:tentative="1">
      <w:start w:val="1"/>
      <w:numFmt w:val="bullet"/>
      <w:lvlText w:val=""/>
      <w:lvlJc w:val="left"/>
      <w:pPr>
        <w:tabs>
          <w:tab w:val="num" w:pos="3600"/>
        </w:tabs>
        <w:ind w:left="3600" w:hanging="360"/>
      </w:pPr>
      <w:rPr>
        <w:rFonts w:ascii="Symbol" w:hAnsi="Symbol" w:hint="default"/>
      </w:rPr>
    </w:lvl>
    <w:lvl w:ilvl="5" w:tplc="48CE8DA2" w:tentative="1">
      <w:start w:val="1"/>
      <w:numFmt w:val="bullet"/>
      <w:lvlText w:val=""/>
      <w:lvlJc w:val="left"/>
      <w:pPr>
        <w:tabs>
          <w:tab w:val="num" w:pos="4320"/>
        </w:tabs>
        <w:ind w:left="4320" w:hanging="360"/>
      </w:pPr>
      <w:rPr>
        <w:rFonts w:ascii="Symbol" w:hAnsi="Symbol" w:hint="default"/>
      </w:rPr>
    </w:lvl>
    <w:lvl w:ilvl="6" w:tplc="0FAEE5A4" w:tentative="1">
      <w:start w:val="1"/>
      <w:numFmt w:val="bullet"/>
      <w:lvlText w:val=""/>
      <w:lvlJc w:val="left"/>
      <w:pPr>
        <w:tabs>
          <w:tab w:val="num" w:pos="5040"/>
        </w:tabs>
        <w:ind w:left="5040" w:hanging="360"/>
      </w:pPr>
      <w:rPr>
        <w:rFonts w:ascii="Symbol" w:hAnsi="Symbol" w:hint="default"/>
      </w:rPr>
    </w:lvl>
    <w:lvl w:ilvl="7" w:tplc="478AF1DC" w:tentative="1">
      <w:start w:val="1"/>
      <w:numFmt w:val="bullet"/>
      <w:lvlText w:val=""/>
      <w:lvlJc w:val="left"/>
      <w:pPr>
        <w:tabs>
          <w:tab w:val="num" w:pos="5760"/>
        </w:tabs>
        <w:ind w:left="5760" w:hanging="360"/>
      </w:pPr>
      <w:rPr>
        <w:rFonts w:ascii="Symbol" w:hAnsi="Symbol" w:hint="default"/>
      </w:rPr>
    </w:lvl>
    <w:lvl w:ilvl="8" w:tplc="4C9A36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1495FF2"/>
    <w:multiLevelType w:val="hybridMultilevel"/>
    <w:tmpl w:val="283286C4"/>
    <w:lvl w:ilvl="0" w:tplc="9104C178">
      <w:start w:val="1"/>
      <w:numFmt w:val="bullet"/>
      <w:lvlText w:val=""/>
      <w:lvlJc w:val="left"/>
      <w:pPr>
        <w:tabs>
          <w:tab w:val="num" w:pos="720"/>
        </w:tabs>
        <w:ind w:left="720" w:hanging="360"/>
      </w:pPr>
      <w:rPr>
        <w:rFonts w:ascii="Symbol" w:hAnsi="Symbol" w:hint="default"/>
      </w:rPr>
    </w:lvl>
    <w:lvl w:ilvl="1" w:tplc="8EEA2CC6" w:tentative="1">
      <w:start w:val="1"/>
      <w:numFmt w:val="bullet"/>
      <w:lvlText w:val=""/>
      <w:lvlJc w:val="left"/>
      <w:pPr>
        <w:tabs>
          <w:tab w:val="num" w:pos="1440"/>
        </w:tabs>
        <w:ind w:left="1440" w:hanging="360"/>
      </w:pPr>
      <w:rPr>
        <w:rFonts w:ascii="Symbol" w:hAnsi="Symbol" w:hint="default"/>
      </w:rPr>
    </w:lvl>
    <w:lvl w:ilvl="2" w:tplc="356E09E4" w:tentative="1">
      <w:start w:val="1"/>
      <w:numFmt w:val="bullet"/>
      <w:lvlText w:val=""/>
      <w:lvlJc w:val="left"/>
      <w:pPr>
        <w:tabs>
          <w:tab w:val="num" w:pos="2160"/>
        </w:tabs>
        <w:ind w:left="2160" w:hanging="360"/>
      </w:pPr>
      <w:rPr>
        <w:rFonts w:ascii="Symbol" w:hAnsi="Symbol" w:hint="default"/>
      </w:rPr>
    </w:lvl>
    <w:lvl w:ilvl="3" w:tplc="B0A42434" w:tentative="1">
      <w:start w:val="1"/>
      <w:numFmt w:val="bullet"/>
      <w:lvlText w:val=""/>
      <w:lvlJc w:val="left"/>
      <w:pPr>
        <w:tabs>
          <w:tab w:val="num" w:pos="2880"/>
        </w:tabs>
        <w:ind w:left="2880" w:hanging="360"/>
      </w:pPr>
      <w:rPr>
        <w:rFonts w:ascii="Symbol" w:hAnsi="Symbol" w:hint="default"/>
      </w:rPr>
    </w:lvl>
    <w:lvl w:ilvl="4" w:tplc="31E81EEE" w:tentative="1">
      <w:start w:val="1"/>
      <w:numFmt w:val="bullet"/>
      <w:lvlText w:val=""/>
      <w:lvlJc w:val="left"/>
      <w:pPr>
        <w:tabs>
          <w:tab w:val="num" w:pos="3600"/>
        </w:tabs>
        <w:ind w:left="3600" w:hanging="360"/>
      </w:pPr>
      <w:rPr>
        <w:rFonts w:ascii="Symbol" w:hAnsi="Symbol" w:hint="default"/>
      </w:rPr>
    </w:lvl>
    <w:lvl w:ilvl="5" w:tplc="121C0820" w:tentative="1">
      <w:start w:val="1"/>
      <w:numFmt w:val="bullet"/>
      <w:lvlText w:val=""/>
      <w:lvlJc w:val="left"/>
      <w:pPr>
        <w:tabs>
          <w:tab w:val="num" w:pos="4320"/>
        </w:tabs>
        <w:ind w:left="4320" w:hanging="360"/>
      </w:pPr>
      <w:rPr>
        <w:rFonts w:ascii="Symbol" w:hAnsi="Symbol" w:hint="default"/>
      </w:rPr>
    </w:lvl>
    <w:lvl w:ilvl="6" w:tplc="2300073A" w:tentative="1">
      <w:start w:val="1"/>
      <w:numFmt w:val="bullet"/>
      <w:lvlText w:val=""/>
      <w:lvlJc w:val="left"/>
      <w:pPr>
        <w:tabs>
          <w:tab w:val="num" w:pos="5040"/>
        </w:tabs>
        <w:ind w:left="5040" w:hanging="360"/>
      </w:pPr>
      <w:rPr>
        <w:rFonts w:ascii="Symbol" w:hAnsi="Symbol" w:hint="default"/>
      </w:rPr>
    </w:lvl>
    <w:lvl w:ilvl="7" w:tplc="98CA1E2E" w:tentative="1">
      <w:start w:val="1"/>
      <w:numFmt w:val="bullet"/>
      <w:lvlText w:val=""/>
      <w:lvlJc w:val="left"/>
      <w:pPr>
        <w:tabs>
          <w:tab w:val="num" w:pos="5760"/>
        </w:tabs>
        <w:ind w:left="5760" w:hanging="360"/>
      </w:pPr>
      <w:rPr>
        <w:rFonts w:ascii="Symbol" w:hAnsi="Symbol" w:hint="default"/>
      </w:rPr>
    </w:lvl>
    <w:lvl w:ilvl="8" w:tplc="09DA559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2A317A6"/>
    <w:multiLevelType w:val="hybridMultilevel"/>
    <w:tmpl w:val="E5EC4C06"/>
    <w:lvl w:ilvl="0" w:tplc="08E83014">
      <w:start w:val="77"/>
      <w:numFmt w:val="bullet"/>
      <w:lvlText w:val="-"/>
      <w:lvlJc w:val="left"/>
      <w:pPr>
        <w:ind w:left="720" w:hanging="360"/>
      </w:pPr>
      <w:rPr>
        <w:rFonts w:ascii="FoundryJournalBook" w:eastAsia="Times New Roman" w:hAnsi="FoundryJournalBook"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7E30CC"/>
    <w:multiLevelType w:val="hybridMultilevel"/>
    <w:tmpl w:val="7A22F7DC"/>
    <w:lvl w:ilvl="0" w:tplc="532A06E8">
      <w:start w:val="1"/>
      <w:numFmt w:val="bullet"/>
      <w:lvlText w:val=""/>
      <w:lvlJc w:val="left"/>
      <w:pPr>
        <w:ind w:left="0" w:firstLine="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6E44C37"/>
    <w:multiLevelType w:val="hybridMultilevel"/>
    <w:tmpl w:val="A746C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530CC8"/>
    <w:multiLevelType w:val="multilevel"/>
    <w:tmpl w:val="1506E6D2"/>
    <w:lvl w:ilvl="0">
      <w:start w:val="1"/>
      <w:numFmt w:val="decimal"/>
      <w:pStyle w:val="Titre1"/>
      <w:suff w:val="space"/>
      <w:lvlText w:val="%1-"/>
      <w:lvlJc w:val="left"/>
      <w:pPr>
        <w:ind w:left="0" w:firstLine="0"/>
      </w:pPr>
      <w:rPr>
        <w:rFonts w:hint="default"/>
      </w:rPr>
    </w:lvl>
    <w:lvl w:ilvl="1">
      <w:start w:val="1"/>
      <w:numFmt w:val="decimal"/>
      <w:pStyle w:val="Titre2"/>
      <w:suff w:val="space"/>
      <w:lvlText w:val="%1.%2-"/>
      <w:lvlJc w:val="left"/>
      <w:pPr>
        <w:ind w:left="0" w:firstLine="0"/>
      </w:pPr>
      <w:rPr>
        <w:rFonts w:hint="default"/>
      </w:rPr>
    </w:lvl>
    <w:lvl w:ilvl="2">
      <w:start w:val="1"/>
      <w:numFmt w:val="decimal"/>
      <w:pStyle w:val="Titre3"/>
      <w:suff w:val="nothing"/>
      <w:lvlText w:val="%1.%2.%3-"/>
      <w:lvlJc w:val="left"/>
      <w:pPr>
        <w:ind w:left="71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num w:numId="1">
    <w:abstractNumId w:val="27"/>
  </w:num>
  <w:num w:numId="2">
    <w:abstractNumId w:val="25"/>
  </w:num>
  <w:num w:numId="3">
    <w:abstractNumId w:val="15"/>
  </w:num>
  <w:num w:numId="4">
    <w:abstractNumId w:val="11"/>
  </w:num>
  <w:num w:numId="5">
    <w:abstractNumId w:val="24"/>
  </w:num>
  <w:num w:numId="6">
    <w:abstractNumId w:val="14"/>
  </w:num>
  <w:num w:numId="7">
    <w:abstractNumId w:val="20"/>
  </w:num>
  <w:num w:numId="8">
    <w:abstractNumId w:val="21"/>
  </w:num>
  <w:num w:numId="9">
    <w:abstractNumId w:val="10"/>
  </w:num>
  <w:num w:numId="10">
    <w:abstractNumId w:val="19"/>
  </w:num>
  <w:num w:numId="11">
    <w:abstractNumId w:val="12"/>
  </w:num>
  <w:num w:numId="12">
    <w:abstractNumId w:val="17"/>
  </w:num>
  <w:num w:numId="13">
    <w:abstractNumId w:val="26"/>
  </w:num>
  <w:num w:numId="14">
    <w:abstractNumId w:val="23"/>
  </w:num>
  <w:num w:numId="15">
    <w:abstractNumId w:val="16"/>
  </w:num>
  <w:num w:numId="16">
    <w:abstractNumId w:val="13"/>
  </w:num>
  <w:num w:numId="17">
    <w:abstractNumId w:val="18"/>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96D"/>
    <w:rsid w:val="00000319"/>
    <w:rsid w:val="00000BB1"/>
    <w:rsid w:val="000034AE"/>
    <w:rsid w:val="0000359D"/>
    <w:rsid w:val="00003E35"/>
    <w:rsid w:val="00003F36"/>
    <w:rsid w:val="000045B4"/>
    <w:rsid w:val="000056E7"/>
    <w:rsid w:val="00006B48"/>
    <w:rsid w:val="00007691"/>
    <w:rsid w:val="0001178F"/>
    <w:rsid w:val="00012B13"/>
    <w:rsid w:val="000144B8"/>
    <w:rsid w:val="000148B1"/>
    <w:rsid w:val="0001691B"/>
    <w:rsid w:val="00016930"/>
    <w:rsid w:val="00017A6F"/>
    <w:rsid w:val="00022628"/>
    <w:rsid w:val="00025299"/>
    <w:rsid w:val="00032837"/>
    <w:rsid w:val="00033823"/>
    <w:rsid w:val="00035DF4"/>
    <w:rsid w:val="00036856"/>
    <w:rsid w:val="0004027F"/>
    <w:rsid w:val="00040847"/>
    <w:rsid w:val="0004690C"/>
    <w:rsid w:val="00053A45"/>
    <w:rsid w:val="00054B7C"/>
    <w:rsid w:val="00057613"/>
    <w:rsid w:val="000617CB"/>
    <w:rsid w:val="00062F57"/>
    <w:rsid w:val="00063DFD"/>
    <w:rsid w:val="00065114"/>
    <w:rsid w:val="0006604A"/>
    <w:rsid w:val="000671B9"/>
    <w:rsid w:val="00070747"/>
    <w:rsid w:val="00070856"/>
    <w:rsid w:val="00072AE8"/>
    <w:rsid w:val="00073AAF"/>
    <w:rsid w:val="000763A4"/>
    <w:rsid w:val="000763A6"/>
    <w:rsid w:val="0007671A"/>
    <w:rsid w:val="00081911"/>
    <w:rsid w:val="00083ECE"/>
    <w:rsid w:val="00085CC3"/>
    <w:rsid w:val="00090657"/>
    <w:rsid w:val="00095A32"/>
    <w:rsid w:val="000A0E8D"/>
    <w:rsid w:val="000A3407"/>
    <w:rsid w:val="000A5367"/>
    <w:rsid w:val="000B45EC"/>
    <w:rsid w:val="000B7063"/>
    <w:rsid w:val="000C02F3"/>
    <w:rsid w:val="000C32E0"/>
    <w:rsid w:val="000D2846"/>
    <w:rsid w:val="000D42DD"/>
    <w:rsid w:val="000D5254"/>
    <w:rsid w:val="000D5B45"/>
    <w:rsid w:val="000E15D2"/>
    <w:rsid w:val="000E434B"/>
    <w:rsid w:val="000E4DC1"/>
    <w:rsid w:val="000F1340"/>
    <w:rsid w:val="000F21BF"/>
    <w:rsid w:val="000F2ED8"/>
    <w:rsid w:val="000F2FC1"/>
    <w:rsid w:val="001009AC"/>
    <w:rsid w:val="001114F5"/>
    <w:rsid w:val="0011158E"/>
    <w:rsid w:val="00112999"/>
    <w:rsid w:val="0011326F"/>
    <w:rsid w:val="00127C49"/>
    <w:rsid w:val="001346B2"/>
    <w:rsid w:val="00140F73"/>
    <w:rsid w:val="00141824"/>
    <w:rsid w:val="00145BF1"/>
    <w:rsid w:val="0014749F"/>
    <w:rsid w:val="001477CD"/>
    <w:rsid w:val="00150126"/>
    <w:rsid w:val="001502CA"/>
    <w:rsid w:val="00151848"/>
    <w:rsid w:val="0015546E"/>
    <w:rsid w:val="00155D63"/>
    <w:rsid w:val="00156880"/>
    <w:rsid w:val="00160E2E"/>
    <w:rsid w:val="0016276C"/>
    <w:rsid w:val="00162A22"/>
    <w:rsid w:val="00163BA0"/>
    <w:rsid w:val="00163CCC"/>
    <w:rsid w:val="00166251"/>
    <w:rsid w:val="001673F3"/>
    <w:rsid w:val="00174070"/>
    <w:rsid w:val="00175265"/>
    <w:rsid w:val="00175A22"/>
    <w:rsid w:val="001772E3"/>
    <w:rsid w:val="001818A0"/>
    <w:rsid w:val="0018259C"/>
    <w:rsid w:val="00183F94"/>
    <w:rsid w:val="0018402A"/>
    <w:rsid w:val="001845AF"/>
    <w:rsid w:val="001862F6"/>
    <w:rsid w:val="001874FA"/>
    <w:rsid w:val="00191522"/>
    <w:rsid w:val="001933AD"/>
    <w:rsid w:val="00196E62"/>
    <w:rsid w:val="001A09DB"/>
    <w:rsid w:val="001A17E2"/>
    <w:rsid w:val="001A2C88"/>
    <w:rsid w:val="001A3441"/>
    <w:rsid w:val="001A34D7"/>
    <w:rsid w:val="001A59D8"/>
    <w:rsid w:val="001A735A"/>
    <w:rsid w:val="001B0385"/>
    <w:rsid w:val="001B2B6C"/>
    <w:rsid w:val="001B33D6"/>
    <w:rsid w:val="001B442D"/>
    <w:rsid w:val="001B51FD"/>
    <w:rsid w:val="001B595B"/>
    <w:rsid w:val="001C0440"/>
    <w:rsid w:val="001C09C7"/>
    <w:rsid w:val="001C6FEA"/>
    <w:rsid w:val="001C75C6"/>
    <w:rsid w:val="001D16C9"/>
    <w:rsid w:val="001D2AC9"/>
    <w:rsid w:val="001D6106"/>
    <w:rsid w:val="001D7C34"/>
    <w:rsid w:val="001E1220"/>
    <w:rsid w:val="001E42C7"/>
    <w:rsid w:val="001E78C2"/>
    <w:rsid w:val="001F1C87"/>
    <w:rsid w:val="001F1CC7"/>
    <w:rsid w:val="001F295A"/>
    <w:rsid w:val="001F2D11"/>
    <w:rsid w:val="001F2F40"/>
    <w:rsid w:val="001F575E"/>
    <w:rsid w:val="00202D44"/>
    <w:rsid w:val="00206FF1"/>
    <w:rsid w:val="002100D5"/>
    <w:rsid w:val="0021376F"/>
    <w:rsid w:val="0021754B"/>
    <w:rsid w:val="00217CD8"/>
    <w:rsid w:val="00220D6A"/>
    <w:rsid w:val="002220CE"/>
    <w:rsid w:val="00222FE6"/>
    <w:rsid w:val="00223D38"/>
    <w:rsid w:val="0023293E"/>
    <w:rsid w:val="002331C0"/>
    <w:rsid w:val="0023391D"/>
    <w:rsid w:val="002342DC"/>
    <w:rsid w:val="00234B6C"/>
    <w:rsid w:val="00235074"/>
    <w:rsid w:val="00236D88"/>
    <w:rsid w:val="00237F0A"/>
    <w:rsid w:val="00244C7E"/>
    <w:rsid w:val="00245BA1"/>
    <w:rsid w:val="00246A42"/>
    <w:rsid w:val="00250264"/>
    <w:rsid w:val="0025451B"/>
    <w:rsid w:val="00255053"/>
    <w:rsid w:val="00256586"/>
    <w:rsid w:val="00261856"/>
    <w:rsid w:val="0026456A"/>
    <w:rsid w:val="00264EDC"/>
    <w:rsid w:val="00271ADC"/>
    <w:rsid w:val="0027209B"/>
    <w:rsid w:val="00274CDC"/>
    <w:rsid w:val="002767B6"/>
    <w:rsid w:val="00277427"/>
    <w:rsid w:val="0027759B"/>
    <w:rsid w:val="00277BFF"/>
    <w:rsid w:val="00283358"/>
    <w:rsid w:val="00283BB4"/>
    <w:rsid w:val="002872FB"/>
    <w:rsid w:val="002874CF"/>
    <w:rsid w:val="00290AA2"/>
    <w:rsid w:val="00291BD8"/>
    <w:rsid w:val="00291BE4"/>
    <w:rsid w:val="0029319C"/>
    <w:rsid w:val="00293426"/>
    <w:rsid w:val="00293581"/>
    <w:rsid w:val="0029358A"/>
    <w:rsid w:val="002941A5"/>
    <w:rsid w:val="00295325"/>
    <w:rsid w:val="00296F26"/>
    <w:rsid w:val="002A2EBB"/>
    <w:rsid w:val="002A4E2F"/>
    <w:rsid w:val="002A75AB"/>
    <w:rsid w:val="002A7872"/>
    <w:rsid w:val="002B0460"/>
    <w:rsid w:val="002B1C1C"/>
    <w:rsid w:val="002B2D45"/>
    <w:rsid w:val="002B329E"/>
    <w:rsid w:val="002B7C7B"/>
    <w:rsid w:val="002C66BC"/>
    <w:rsid w:val="002D0200"/>
    <w:rsid w:val="002D15FD"/>
    <w:rsid w:val="002D216A"/>
    <w:rsid w:val="002D5C5D"/>
    <w:rsid w:val="002D72D4"/>
    <w:rsid w:val="002D7973"/>
    <w:rsid w:val="002D7A67"/>
    <w:rsid w:val="002E0A21"/>
    <w:rsid w:val="002E1021"/>
    <w:rsid w:val="002E12B5"/>
    <w:rsid w:val="002E1714"/>
    <w:rsid w:val="002E4303"/>
    <w:rsid w:val="002E55BE"/>
    <w:rsid w:val="002E5FA6"/>
    <w:rsid w:val="002E7C5F"/>
    <w:rsid w:val="002F187E"/>
    <w:rsid w:val="002F382A"/>
    <w:rsid w:val="002F4018"/>
    <w:rsid w:val="002F652A"/>
    <w:rsid w:val="002F673D"/>
    <w:rsid w:val="002F71DA"/>
    <w:rsid w:val="002F7B96"/>
    <w:rsid w:val="00303FB6"/>
    <w:rsid w:val="00304037"/>
    <w:rsid w:val="003072D7"/>
    <w:rsid w:val="0031070C"/>
    <w:rsid w:val="003165DE"/>
    <w:rsid w:val="00317197"/>
    <w:rsid w:val="00317A5F"/>
    <w:rsid w:val="00321328"/>
    <w:rsid w:val="00321CED"/>
    <w:rsid w:val="00321EA9"/>
    <w:rsid w:val="0032210A"/>
    <w:rsid w:val="00324690"/>
    <w:rsid w:val="0033334C"/>
    <w:rsid w:val="0033605A"/>
    <w:rsid w:val="0033683A"/>
    <w:rsid w:val="00340743"/>
    <w:rsid w:val="003414A4"/>
    <w:rsid w:val="00342764"/>
    <w:rsid w:val="00343F31"/>
    <w:rsid w:val="0034496D"/>
    <w:rsid w:val="0034523F"/>
    <w:rsid w:val="003460DA"/>
    <w:rsid w:val="00346B1E"/>
    <w:rsid w:val="00346B71"/>
    <w:rsid w:val="00351B39"/>
    <w:rsid w:val="00352275"/>
    <w:rsid w:val="00357CEB"/>
    <w:rsid w:val="003665EE"/>
    <w:rsid w:val="00370745"/>
    <w:rsid w:val="003729AF"/>
    <w:rsid w:val="00375250"/>
    <w:rsid w:val="00375593"/>
    <w:rsid w:val="0037743D"/>
    <w:rsid w:val="00377E06"/>
    <w:rsid w:val="00380243"/>
    <w:rsid w:val="00382937"/>
    <w:rsid w:val="0038564A"/>
    <w:rsid w:val="003864D7"/>
    <w:rsid w:val="00387905"/>
    <w:rsid w:val="003A0E2C"/>
    <w:rsid w:val="003A0E62"/>
    <w:rsid w:val="003A7470"/>
    <w:rsid w:val="003A7D98"/>
    <w:rsid w:val="003B0263"/>
    <w:rsid w:val="003B02E2"/>
    <w:rsid w:val="003B118B"/>
    <w:rsid w:val="003B3988"/>
    <w:rsid w:val="003B3D22"/>
    <w:rsid w:val="003B52FD"/>
    <w:rsid w:val="003B7282"/>
    <w:rsid w:val="003C0AC7"/>
    <w:rsid w:val="003C0B27"/>
    <w:rsid w:val="003C3972"/>
    <w:rsid w:val="003C4149"/>
    <w:rsid w:val="003C5403"/>
    <w:rsid w:val="003C6C65"/>
    <w:rsid w:val="003D4044"/>
    <w:rsid w:val="003D52CF"/>
    <w:rsid w:val="003D6ADB"/>
    <w:rsid w:val="003D761B"/>
    <w:rsid w:val="003D7869"/>
    <w:rsid w:val="003E07CE"/>
    <w:rsid w:val="003E2676"/>
    <w:rsid w:val="003E2C48"/>
    <w:rsid w:val="003E2F0F"/>
    <w:rsid w:val="003E456E"/>
    <w:rsid w:val="003E4D64"/>
    <w:rsid w:val="003E4F1C"/>
    <w:rsid w:val="003F2FAD"/>
    <w:rsid w:val="003F4515"/>
    <w:rsid w:val="00400407"/>
    <w:rsid w:val="00401824"/>
    <w:rsid w:val="00402DC7"/>
    <w:rsid w:val="004035B3"/>
    <w:rsid w:val="004046FC"/>
    <w:rsid w:val="0040535E"/>
    <w:rsid w:val="004064A7"/>
    <w:rsid w:val="00413D29"/>
    <w:rsid w:val="0041551A"/>
    <w:rsid w:val="00415D48"/>
    <w:rsid w:val="0041729C"/>
    <w:rsid w:val="0042113D"/>
    <w:rsid w:val="00421531"/>
    <w:rsid w:val="00423381"/>
    <w:rsid w:val="004243B9"/>
    <w:rsid w:val="004257D7"/>
    <w:rsid w:val="00430AEA"/>
    <w:rsid w:val="00430F1B"/>
    <w:rsid w:val="004378B2"/>
    <w:rsid w:val="00440954"/>
    <w:rsid w:val="00444568"/>
    <w:rsid w:val="00444572"/>
    <w:rsid w:val="00452452"/>
    <w:rsid w:val="00452520"/>
    <w:rsid w:val="00452E73"/>
    <w:rsid w:val="00453728"/>
    <w:rsid w:val="00457B98"/>
    <w:rsid w:val="004620E5"/>
    <w:rsid w:val="00463D42"/>
    <w:rsid w:val="004648F4"/>
    <w:rsid w:val="004711EB"/>
    <w:rsid w:val="00471EF9"/>
    <w:rsid w:val="00473FE5"/>
    <w:rsid w:val="004755DE"/>
    <w:rsid w:val="004759B6"/>
    <w:rsid w:val="00480012"/>
    <w:rsid w:val="00480EA3"/>
    <w:rsid w:val="00481009"/>
    <w:rsid w:val="00482190"/>
    <w:rsid w:val="00485250"/>
    <w:rsid w:val="004864EC"/>
    <w:rsid w:val="00486D71"/>
    <w:rsid w:val="004939CF"/>
    <w:rsid w:val="00495482"/>
    <w:rsid w:val="004A54B5"/>
    <w:rsid w:val="004A6312"/>
    <w:rsid w:val="004B08F9"/>
    <w:rsid w:val="004B145B"/>
    <w:rsid w:val="004B3D39"/>
    <w:rsid w:val="004B6E92"/>
    <w:rsid w:val="004C0AAC"/>
    <w:rsid w:val="004C2134"/>
    <w:rsid w:val="004C365E"/>
    <w:rsid w:val="004C4B6E"/>
    <w:rsid w:val="004C683F"/>
    <w:rsid w:val="004C6EB8"/>
    <w:rsid w:val="004D1EEF"/>
    <w:rsid w:val="004D3850"/>
    <w:rsid w:val="004D5676"/>
    <w:rsid w:val="004D5AF1"/>
    <w:rsid w:val="004E2946"/>
    <w:rsid w:val="004E682F"/>
    <w:rsid w:val="004E7F9B"/>
    <w:rsid w:val="004F48C0"/>
    <w:rsid w:val="004F5D5B"/>
    <w:rsid w:val="004F664E"/>
    <w:rsid w:val="004F695F"/>
    <w:rsid w:val="004F6FAB"/>
    <w:rsid w:val="005042DF"/>
    <w:rsid w:val="0050491C"/>
    <w:rsid w:val="005055EE"/>
    <w:rsid w:val="00507024"/>
    <w:rsid w:val="00507312"/>
    <w:rsid w:val="00507A1A"/>
    <w:rsid w:val="005106A7"/>
    <w:rsid w:val="00511164"/>
    <w:rsid w:val="005148CA"/>
    <w:rsid w:val="00514D4C"/>
    <w:rsid w:val="005243A0"/>
    <w:rsid w:val="00524E77"/>
    <w:rsid w:val="00524E87"/>
    <w:rsid w:val="00525A2D"/>
    <w:rsid w:val="0053169F"/>
    <w:rsid w:val="00532714"/>
    <w:rsid w:val="00537D5E"/>
    <w:rsid w:val="005424A4"/>
    <w:rsid w:val="00542C43"/>
    <w:rsid w:val="00543436"/>
    <w:rsid w:val="00544466"/>
    <w:rsid w:val="00544B7E"/>
    <w:rsid w:val="00545FB4"/>
    <w:rsid w:val="00555299"/>
    <w:rsid w:val="00557C9D"/>
    <w:rsid w:val="0056065B"/>
    <w:rsid w:val="0056156A"/>
    <w:rsid w:val="005615C4"/>
    <w:rsid w:val="00561AE5"/>
    <w:rsid w:val="005620C0"/>
    <w:rsid w:val="00572812"/>
    <w:rsid w:val="00575F7D"/>
    <w:rsid w:val="00576646"/>
    <w:rsid w:val="00576ADF"/>
    <w:rsid w:val="00581B05"/>
    <w:rsid w:val="00582051"/>
    <w:rsid w:val="005842B3"/>
    <w:rsid w:val="0058669D"/>
    <w:rsid w:val="00586E6B"/>
    <w:rsid w:val="005904C7"/>
    <w:rsid w:val="005957E1"/>
    <w:rsid w:val="00596EE8"/>
    <w:rsid w:val="00597BA3"/>
    <w:rsid w:val="005A01E8"/>
    <w:rsid w:val="005A171C"/>
    <w:rsid w:val="005A6A31"/>
    <w:rsid w:val="005B0D58"/>
    <w:rsid w:val="005B3DFB"/>
    <w:rsid w:val="005B70AA"/>
    <w:rsid w:val="005B71B0"/>
    <w:rsid w:val="005C02A7"/>
    <w:rsid w:val="005C1151"/>
    <w:rsid w:val="005C1950"/>
    <w:rsid w:val="005C1ADD"/>
    <w:rsid w:val="005C2ECE"/>
    <w:rsid w:val="005C3693"/>
    <w:rsid w:val="005D2195"/>
    <w:rsid w:val="005D3EEB"/>
    <w:rsid w:val="005D41E6"/>
    <w:rsid w:val="005D7AC9"/>
    <w:rsid w:val="005D7F16"/>
    <w:rsid w:val="005E0658"/>
    <w:rsid w:val="005E485C"/>
    <w:rsid w:val="005E4A5C"/>
    <w:rsid w:val="005E652F"/>
    <w:rsid w:val="005E7BDE"/>
    <w:rsid w:val="005F00B7"/>
    <w:rsid w:val="005F0DC0"/>
    <w:rsid w:val="005F2BD5"/>
    <w:rsid w:val="005F3C1B"/>
    <w:rsid w:val="005F54D7"/>
    <w:rsid w:val="005F6547"/>
    <w:rsid w:val="005F7449"/>
    <w:rsid w:val="00600261"/>
    <w:rsid w:val="00604290"/>
    <w:rsid w:val="00604A4C"/>
    <w:rsid w:val="00604F75"/>
    <w:rsid w:val="00607A59"/>
    <w:rsid w:val="00610FC2"/>
    <w:rsid w:val="0061238A"/>
    <w:rsid w:val="00615064"/>
    <w:rsid w:val="006164A6"/>
    <w:rsid w:val="0062270F"/>
    <w:rsid w:val="0062463E"/>
    <w:rsid w:val="00627113"/>
    <w:rsid w:val="00627614"/>
    <w:rsid w:val="00630860"/>
    <w:rsid w:val="00631941"/>
    <w:rsid w:val="006325FC"/>
    <w:rsid w:val="00632AE7"/>
    <w:rsid w:val="00642112"/>
    <w:rsid w:val="0064282E"/>
    <w:rsid w:val="00643422"/>
    <w:rsid w:val="00644B7D"/>
    <w:rsid w:val="006533BD"/>
    <w:rsid w:val="00654667"/>
    <w:rsid w:val="00661972"/>
    <w:rsid w:val="00663DF9"/>
    <w:rsid w:val="00664F8B"/>
    <w:rsid w:val="00665AFF"/>
    <w:rsid w:val="00666167"/>
    <w:rsid w:val="00667614"/>
    <w:rsid w:val="00667E9C"/>
    <w:rsid w:val="006714CE"/>
    <w:rsid w:val="00671580"/>
    <w:rsid w:val="00672656"/>
    <w:rsid w:val="00673D68"/>
    <w:rsid w:val="006759FC"/>
    <w:rsid w:val="00683202"/>
    <w:rsid w:val="006871DE"/>
    <w:rsid w:val="006927C3"/>
    <w:rsid w:val="00692C1A"/>
    <w:rsid w:val="00693C7D"/>
    <w:rsid w:val="0069773D"/>
    <w:rsid w:val="006A0AC6"/>
    <w:rsid w:val="006A11CF"/>
    <w:rsid w:val="006A11D5"/>
    <w:rsid w:val="006A5862"/>
    <w:rsid w:val="006B1B93"/>
    <w:rsid w:val="006B1C81"/>
    <w:rsid w:val="006B5330"/>
    <w:rsid w:val="006C4C13"/>
    <w:rsid w:val="006C7868"/>
    <w:rsid w:val="006D021B"/>
    <w:rsid w:val="006D0428"/>
    <w:rsid w:val="006D2B79"/>
    <w:rsid w:val="006D3369"/>
    <w:rsid w:val="006D6F4D"/>
    <w:rsid w:val="006E45ED"/>
    <w:rsid w:val="006E6320"/>
    <w:rsid w:val="006E6D6C"/>
    <w:rsid w:val="006F052D"/>
    <w:rsid w:val="006F0728"/>
    <w:rsid w:val="006F2238"/>
    <w:rsid w:val="006F29C1"/>
    <w:rsid w:val="006F6009"/>
    <w:rsid w:val="006F7B0F"/>
    <w:rsid w:val="007016C2"/>
    <w:rsid w:val="007021EA"/>
    <w:rsid w:val="00703136"/>
    <w:rsid w:val="007032A7"/>
    <w:rsid w:val="00703627"/>
    <w:rsid w:val="00705F06"/>
    <w:rsid w:val="007144A0"/>
    <w:rsid w:val="00716BEC"/>
    <w:rsid w:val="00717143"/>
    <w:rsid w:val="0072259E"/>
    <w:rsid w:val="00722809"/>
    <w:rsid w:val="00722C3D"/>
    <w:rsid w:val="00722EFD"/>
    <w:rsid w:val="007272F7"/>
    <w:rsid w:val="0073084C"/>
    <w:rsid w:val="00730A4C"/>
    <w:rsid w:val="00731BB6"/>
    <w:rsid w:val="0073246F"/>
    <w:rsid w:val="00732B07"/>
    <w:rsid w:val="0073576B"/>
    <w:rsid w:val="0073680C"/>
    <w:rsid w:val="0073753F"/>
    <w:rsid w:val="00740F78"/>
    <w:rsid w:val="007433C8"/>
    <w:rsid w:val="00743453"/>
    <w:rsid w:val="00750C1D"/>
    <w:rsid w:val="00750F4D"/>
    <w:rsid w:val="00752344"/>
    <w:rsid w:val="00754349"/>
    <w:rsid w:val="00756AEB"/>
    <w:rsid w:val="00756DA6"/>
    <w:rsid w:val="00761E7E"/>
    <w:rsid w:val="007621AA"/>
    <w:rsid w:val="00762640"/>
    <w:rsid w:val="00763735"/>
    <w:rsid w:val="00764B9F"/>
    <w:rsid w:val="00771B1E"/>
    <w:rsid w:val="00780828"/>
    <w:rsid w:val="00781EF9"/>
    <w:rsid w:val="00787B33"/>
    <w:rsid w:val="007953CB"/>
    <w:rsid w:val="007A0FAB"/>
    <w:rsid w:val="007A102F"/>
    <w:rsid w:val="007A24E5"/>
    <w:rsid w:val="007A7AAF"/>
    <w:rsid w:val="007A7DA2"/>
    <w:rsid w:val="007B0D94"/>
    <w:rsid w:val="007B25D5"/>
    <w:rsid w:val="007B3624"/>
    <w:rsid w:val="007B3783"/>
    <w:rsid w:val="007C557D"/>
    <w:rsid w:val="007C612E"/>
    <w:rsid w:val="007C6AF1"/>
    <w:rsid w:val="007D1314"/>
    <w:rsid w:val="007D1D1B"/>
    <w:rsid w:val="007D4648"/>
    <w:rsid w:val="007D62BE"/>
    <w:rsid w:val="007E1CE3"/>
    <w:rsid w:val="007E273A"/>
    <w:rsid w:val="007E4C55"/>
    <w:rsid w:val="007E6A79"/>
    <w:rsid w:val="007F1DB9"/>
    <w:rsid w:val="007F2133"/>
    <w:rsid w:val="007F41C9"/>
    <w:rsid w:val="007F7C64"/>
    <w:rsid w:val="008006AB"/>
    <w:rsid w:val="008030AE"/>
    <w:rsid w:val="008118D9"/>
    <w:rsid w:val="008127F8"/>
    <w:rsid w:val="00812FED"/>
    <w:rsid w:val="00813CD9"/>
    <w:rsid w:val="008166FD"/>
    <w:rsid w:val="00820C68"/>
    <w:rsid w:val="00820CED"/>
    <w:rsid w:val="008229C1"/>
    <w:rsid w:val="00823B52"/>
    <w:rsid w:val="00826E62"/>
    <w:rsid w:val="0083029F"/>
    <w:rsid w:val="008311AF"/>
    <w:rsid w:val="00833BF0"/>
    <w:rsid w:val="00835E34"/>
    <w:rsid w:val="0083606A"/>
    <w:rsid w:val="00836304"/>
    <w:rsid w:val="00837287"/>
    <w:rsid w:val="00840053"/>
    <w:rsid w:val="00841723"/>
    <w:rsid w:val="0084175A"/>
    <w:rsid w:val="00841F3B"/>
    <w:rsid w:val="00845F2B"/>
    <w:rsid w:val="00852028"/>
    <w:rsid w:val="00852D79"/>
    <w:rsid w:val="0085437E"/>
    <w:rsid w:val="00854C09"/>
    <w:rsid w:val="00855809"/>
    <w:rsid w:val="00857300"/>
    <w:rsid w:val="00860EDC"/>
    <w:rsid w:val="00867D8A"/>
    <w:rsid w:val="008707EA"/>
    <w:rsid w:val="00870AFC"/>
    <w:rsid w:val="00870E1C"/>
    <w:rsid w:val="00872857"/>
    <w:rsid w:val="00875AE2"/>
    <w:rsid w:val="00880BE7"/>
    <w:rsid w:val="00882F95"/>
    <w:rsid w:val="00887295"/>
    <w:rsid w:val="00890487"/>
    <w:rsid w:val="008920DC"/>
    <w:rsid w:val="008974CD"/>
    <w:rsid w:val="008A03B2"/>
    <w:rsid w:val="008A0490"/>
    <w:rsid w:val="008A09CC"/>
    <w:rsid w:val="008A1505"/>
    <w:rsid w:val="008A3EDF"/>
    <w:rsid w:val="008A5249"/>
    <w:rsid w:val="008A5DED"/>
    <w:rsid w:val="008A6CF6"/>
    <w:rsid w:val="008A72EA"/>
    <w:rsid w:val="008B125E"/>
    <w:rsid w:val="008B14FC"/>
    <w:rsid w:val="008B233D"/>
    <w:rsid w:val="008B2C33"/>
    <w:rsid w:val="008B2DE1"/>
    <w:rsid w:val="008B49DD"/>
    <w:rsid w:val="008B4DD4"/>
    <w:rsid w:val="008C6AA2"/>
    <w:rsid w:val="008C7E85"/>
    <w:rsid w:val="008D09DE"/>
    <w:rsid w:val="008D2594"/>
    <w:rsid w:val="008D52AF"/>
    <w:rsid w:val="008D74DD"/>
    <w:rsid w:val="008D77AB"/>
    <w:rsid w:val="008E2F5C"/>
    <w:rsid w:val="008F2170"/>
    <w:rsid w:val="008F3262"/>
    <w:rsid w:val="008F36AF"/>
    <w:rsid w:val="008F6ABC"/>
    <w:rsid w:val="008F790B"/>
    <w:rsid w:val="00900DC8"/>
    <w:rsid w:val="00901989"/>
    <w:rsid w:val="00903FE4"/>
    <w:rsid w:val="00904283"/>
    <w:rsid w:val="009058C8"/>
    <w:rsid w:val="00907080"/>
    <w:rsid w:val="00914137"/>
    <w:rsid w:val="00915002"/>
    <w:rsid w:val="00917A74"/>
    <w:rsid w:val="00920A73"/>
    <w:rsid w:val="00921241"/>
    <w:rsid w:val="00922A7C"/>
    <w:rsid w:val="00926B99"/>
    <w:rsid w:val="0092790A"/>
    <w:rsid w:val="009328F1"/>
    <w:rsid w:val="00932C80"/>
    <w:rsid w:val="00933165"/>
    <w:rsid w:val="00937158"/>
    <w:rsid w:val="00940979"/>
    <w:rsid w:val="0094164D"/>
    <w:rsid w:val="00944B2E"/>
    <w:rsid w:val="00950702"/>
    <w:rsid w:val="00952E2D"/>
    <w:rsid w:val="00955702"/>
    <w:rsid w:val="00956CC5"/>
    <w:rsid w:val="0096078A"/>
    <w:rsid w:val="00961205"/>
    <w:rsid w:val="00962477"/>
    <w:rsid w:val="009656C3"/>
    <w:rsid w:val="0096599F"/>
    <w:rsid w:val="00966EC5"/>
    <w:rsid w:val="009676A5"/>
    <w:rsid w:val="00970758"/>
    <w:rsid w:val="00970C0C"/>
    <w:rsid w:val="00970F33"/>
    <w:rsid w:val="0097158E"/>
    <w:rsid w:val="00972821"/>
    <w:rsid w:val="00975A63"/>
    <w:rsid w:val="00976CD0"/>
    <w:rsid w:val="00981994"/>
    <w:rsid w:val="00983D48"/>
    <w:rsid w:val="00985D7E"/>
    <w:rsid w:val="00986FCB"/>
    <w:rsid w:val="0098766F"/>
    <w:rsid w:val="0099084E"/>
    <w:rsid w:val="00992353"/>
    <w:rsid w:val="0099251F"/>
    <w:rsid w:val="00992F8C"/>
    <w:rsid w:val="00995798"/>
    <w:rsid w:val="009A654D"/>
    <w:rsid w:val="009B5AFF"/>
    <w:rsid w:val="009B5BDC"/>
    <w:rsid w:val="009C1802"/>
    <w:rsid w:val="009C3D2D"/>
    <w:rsid w:val="009C5273"/>
    <w:rsid w:val="009C7E5C"/>
    <w:rsid w:val="009D00E9"/>
    <w:rsid w:val="009D0BD5"/>
    <w:rsid w:val="009D0ED6"/>
    <w:rsid w:val="009D178F"/>
    <w:rsid w:val="009D1964"/>
    <w:rsid w:val="009D714F"/>
    <w:rsid w:val="009E061D"/>
    <w:rsid w:val="009E2C59"/>
    <w:rsid w:val="009E4A25"/>
    <w:rsid w:val="009E4CAE"/>
    <w:rsid w:val="009E5B5C"/>
    <w:rsid w:val="009F0887"/>
    <w:rsid w:val="009F0BB5"/>
    <w:rsid w:val="009F276F"/>
    <w:rsid w:val="009F318C"/>
    <w:rsid w:val="009F6B6D"/>
    <w:rsid w:val="009F78FC"/>
    <w:rsid w:val="009F7DD6"/>
    <w:rsid w:val="00A00CA5"/>
    <w:rsid w:val="00A0111F"/>
    <w:rsid w:val="00A032F4"/>
    <w:rsid w:val="00A0767A"/>
    <w:rsid w:val="00A10CB4"/>
    <w:rsid w:val="00A13216"/>
    <w:rsid w:val="00A133B5"/>
    <w:rsid w:val="00A14F73"/>
    <w:rsid w:val="00A14FAF"/>
    <w:rsid w:val="00A20536"/>
    <w:rsid w:val="00A23703"/>
    <w:rsid w:val="00A2587D"/>
    <w:rsid w:val="00A264F4"/>
    <w:rsid w:val="00A26E51"/>
    <w:rsid w:val="00A316DE"/>
    <w:rsid w:val="00A32A75"/>
    <w:rsid w:val="00A34736"/>
    <w:rsid w:val="00A347D7"/>
    <w:rsid w:val="00A450C7"/>
    <w:rsid w:val="00A47105"/>
    <w:rsid w:val="00A51075"/>
    <w:rsid w:val="00A54887"/>
    <w:rsid w:val="00A54C2B"/>
    <w:rsid w:val="00A55394"/>
    <w:rsid w:val="00A560DE"/>
    <w:rsid w:val="00A56FBC"/>
    <w:rsid w:val="00A57B57"/>
    <w:rsid w:val="00A619AC"/>
    <w:rsid w:val="00A63296"/>
    <w:rsid w:val="00A63AA5"/>
    <w:rsid w:val="00A64A29"/>
    <w:rsid w:val="00A65296"/>
    <w:rsid w:val="00A65810"/>
    <w:rsid w:val="00A7432D"/>
    <w:rsid w:val="00A77238"/>
    <w:rsid w:val="00A7769C"/>
    <w:rsid w:val="00A80BB4"/>
    <w:rsid w:val="00A8128B"/>
    <w:rsid w:val="00A82548"/>
    <w:rsid w:val="00A831D1"/>
    <w:rsid w:val="00A8401B"/>
    <w:rsid w:val="00A84CF0"/>
    <w:rsid w:val="00A8694C"/>
    <w:rsid w:val="00A90EF2"/>
    <w:rsid w:val="00A95314"/>
    <w:rsid w:val="00A97CE1"/>
    <w:rsid w:val="00AA150F"/>
    <w:rsid w:val="00AA1B76"/>
    <w:rsid w:val="00AA2E76"/>
    <w:rsid w:val="00AA5DBF"/>
    <w:rsid w:val="00AB061D"/>
    <w:rsid w:val="00AB6BB2"/>
    <w:rsid w:val="00AB7110"/>
    <w:rsid w:val="00AD0D45"/>
    <w:rsid w:val="00AD1AEB"/>
    <w:rsid w:val="00AD1D6A"/>
    <w:rsid w:val="00AD3A6C"/>
    <w:rsid w:val="00AD40BB"/>
    <w:rsid w:val="00AD4BB4"/>
    <w:rsid w:val="00AD5CF3"/>
    <w:rsid w:val="00AD6C2D"/>
    <w:rsid w:val="00AD778E"/>
    <w:rsid w:val="00AE3976"/>
    <w:rsid w:val="00AE4AED"/>
    <w:rsid w:val="00AF0268"/>
    <w:rsid w:val="00AF29C3"/>
    <w:rsid w:val="00AF6403"/>
    <w:rsid w:val="00B06E91"/>
    <w:rsid w:val="00B12872"/>
    <w:rsid w:val="00B14BD4"/>
    <w:rsid w:val="00B14CC5"/>
    <w:rsid w:val="00B160A1"/>
    <w:rsid w:val="00B17661"/>
    <w:rsid w:val="00B17C10"/>
    <w:rsid w:val="00B2024A"/>
    <w:rsid w:val="00B24C64"/>
    <w:rsid w:val="00B252C4"/>
    <w:rsid w:val="00B3137C"/>
    <w:rsid w:val="00B34477"/>
    <w:rsid w:val="00B4241C"/>
    <w:rsid w:val="00B42892"/>
    <w:rsid w:val="00B42C89"/>
    <w:rsid w:val="00B42F28"/>
    <w:rsid w:val="00B44287"/>
    <w:rsid w:val="00B448ED"/>
    <w:rsid w:val="00B47473"/>
    <w:rsid w:val="00B50027"/>
    <w:rsid w:val="00B50B82"/>
    <w:rsid w:val="00B537D2"/>
    <w:rsid w:val="00B5386E"/>
    <w:rsid w:val="00B538D9"/>
    <w:rsid w:val="00B56D67"/>
    <w:rsid w:val="00B57FD3"/>
    <w:rsid w:val="00B6159D"/>
    <w:rsid w:val="00B62E9D"/>
    <w:rsid w:val="00B64E74"/>
    <w:rsid w:val="00B66EAC"/>
    <w:rsid w:val="00B67C3A"/>
    <w:rsid w:val="00B7008E"/>
    <w:rsid w:val="00B70092"/>
    <w:rsid w:val="00B71DE7"/>
    <w:rsid w:val="00B751C2"/>
    <w:rsid w:val="00B754D4"/>
    <w:rsid w:val="00B758EB"/>
    <w:rsid w:val="00B80B23"/>
    <w:rsid w:val="00B82ED9"/>
    <w:rsid w:val="00B83463"/>
    <w:rsid w:val="00B840AF"/>
    <w:rsid w:val="00B8467E"/>
    <w:rsid w:val="00B8492E"/>
    <w:rsid w:val="00B86737"/>
    <w:rsid w:val="00B8704A"/>
    <w:rsid w:val="00B90C3B"/>
    <w:rsid w:val="00B90F70"/>
    <w:rsid w:val="00B91DB6"/>
    <w:rsid w:val="00B93AEB"/>
    <w:rsid w:val="00B9412B"/>
    <w:rsid w:val="00B9482A"/>
    <w:rsid w:val="00BA0843"/>
    <w:rsid w:val="00BA34F0"/>
    <w:rsid w:val="00BA574C"/>
    <w:rsid w:val="00BB1E8B"/>
    <w:rsid w:val="00BB41A5"/>
    <w:rsid w:val="00BB7818"/>
    <w:rsid w:val="00BB7C50"/>
    <w:rsid w:val="00BC5BB6"/>
    <w:rsid w:val="00BC5CAE"/>
    <w:rsid w:val="00BC5F9E"/>
    <w:rsid w:val="00BD3308"/>
    <w:rsid w:val="00BD5E8F"/>
    <w:rsid w:val="00BD7052"/>
    <w:rsid w:val="00BD7725"/>
    <w:rsid w:val="00BE3335"/>
    <w:rsid w:val="00BE34EF"/>
    <w:rsid w:val="00BE39AC"/>
    <w:rsid w:val="00BE6F23"/>
    <w:rsid w:val="00BF141C"/>
    <w:rsid w:val="00BF1F30"/>
    <w:rsid w:val="00C017F4"/>
    <w:rsid w:val="00C03DFA"/>
    <w:rsid w:val="00C03E66"/>
    <w:rsid w:val="00C10A60"/>
    <w:rsid w:val="00C10B73"/>
    <w:rsid w:val="00C1165C"/>
    <w:rsid w:val="00C11836"/>
    <w:rsid w:val="00C247C4"/>
    <w:rsid w:val="00C251B9"/>
    <w:rsid w:val="00C259D5"/>
    <w:rsid w:val="00C27CFE"/>
    <w:rsid w:val="00C30456"/>
    <w:rsid w:val="00C36C42"/>
    <w:rsid w:val="00C40015"/>
    <w:rsid w:val="00C45C5D"/>
    <w:rsid w:val="00C46FC8"/>
    <w:rsid w:val="00C50756"/>
    <w:rsid w:val="00C54C01"/>
    <w:rsid w:val="00C5578D"/>
    <w:rsid w:val="00C56533"/>
    <w:rsid w:val="00C56CDF"/>
    <w:rsid w:val="00C5722E"/>
    <w:rsid w:val="00C57B03"/>
    <w:rsid w:val="00C63545"/>
    <w:rsid w:val="00C65611"/>
    <w:rsid w:val="00C65DEC"/>
    <w:rsid w:val="00C660F7"/>
    <w:rsid w:val="00C67AC5"/>
    <w:rsid w:val="00C7037B"/>
    <w:rsid w:val="00C741A9"/>
    <w:rsid w:val="00C745C1"/>
    <w:rsid w:val="00C76792"/>
    <w:rsid w:val="00C84410"/>
    <w:rsid w:val="00C87336"/>
    <w:rsid w:val="00C91FC4"/>
    <w:rsid w:val="00C93808"/>
    <w:rsid w:val="00C95F62"/>
    <w:rsid w:val="00C9779A"/>
    <w:rsid w:val="00CA03BB"/>
    <w:rsid w:val="00CA0A4E"/>
    <w:rsid w:val="00CA11D3"/>
    <w:rsid w:val="00CA14E5"/>
    <w:rsid w:val="00CA5B3B"/>
    <w:rsid w:val="00CA6A95"/>
    <w:rsid w:val="00CB0339"/>
    <w:rsid w:val="00CB41D8"/>
    <w:rsid w:val="00CB43C4"/>
    <w:rsid w:val="00CB4BB9"/>
    <w:rsid w:val="00CB5F64"/>
    <w:rsid w:val="00CC0BC4"/>
    <w:rsid w:val="00CC22F4"/>
    <w:rsid w:val="00CC7A74"/>
    <w:rsid w:val="00CD1ABE"/>
    <w:rsid w:val="00CD24D0"/>
    <w:rsid w:val="00CD35E3"/>
    <w:rsid w:val="00CD553B"/>
    <w:rsid w:val="00CD5943"/>
    <w:rsid w:val="00CD5EED"/>
    <w:rsid w:val="00CD6345"/>
    <w:rsid w:val="00CE01E5"/>
    <w:rsid w:val="00CE58AF"/>
    <w:rsid w:val="00CE798A"/>
    <w:rsid w:val="00CE79CE"/>
    <w:rsid w:val="00CE7FBA"/>
    <w:rsid w:val="00CF2874"/>
    <w:rsid w:val="00CF3117"/>
    <w:rsid w:val="00CF3E8B"/>
    <w:rsid w:val="00CF45D5"/>
    <w:rsid w:val="00CF4A9B"/>
    <w:rsid w:val="00CF7C44"/>
    <w:rsid w:val="00D013EF"/>
    <w:rsid w:val="00D013F2"/>
    <w:rsid w:val="00D044F1"/>
    <w:rsid w:val="00D05674"/>
    <w:rsid w:val="00D07091"/>
    <w:rsid w:val="00D11F39"/>
    <w:rsid w:val="00D131DE"/>
    <w:rsid w:val="00D13F53"/>
    <w:rsid w:val="00D1440E"/>
    <w:rsid w:val="00D145F2"/>
    <w:rsid w:val="00D20EBB"/>
    <w:rsid w:val="00D25844"/>
    <w:rsid w:val="00D2786D"/>
    <w:rsid w:val="00D317AE"/>
    <w:rsid w:val="00D3223A"/>
    <w:rsid w:val="00D332B5"/>
    <w:rsid w:val="00D341E6"/>
    <w:rsid w:val="00D3448E"/>
    <w:rsid w:val="00D3734A"/>
    <w:rsid w:val="00D37E63"/>
    <w:rsid w:val="00D407B1"/>
    <w:rsid w:val="00D40B90"/>
    <w:rsid w:val="00D41113"/>
    <w:rsid w:val="00D43A9E"/>
    <w:rsid w:val="00D44967"/>
    <w:rsid w:val="00D45BCD"/>
    <w:rsid w:val="00D45CD2"/>
    <w:rsid w:val="00D46076"/>
    <w:rsid w:val="00D4712C"/>
    <w:rsid w:val="00D51E2A"/>
    <w:rsid w:val="00D53963"/>
    <w:rsid w:val="00D54FD0"/>
    <w:rsid w:val="00D55665"/>
    <w:rsid w:val="00D55BA0"/>
    <w:rsid w:val="00D61F86"/>
    <w:rsid w:val="00D63CDE"/>
    <w:rsid w:val="00D72783"/>
    <w:rsid w:val="00D73D50"/>
    <w:rsid w:val="00D74420"/>
    <w:rsid w:val="00D74DBE"/>
    <w:rsid w:val="00D7743E"/>
    <w:rsid w:val="00D77BDF"/>
    <w:rsid w:val="00D81905"/>
    <w:rsid w:val="00D84FB4"/>
    <w:rsid w:val="00D8775B"/>
    <w:rsid w:val="00D9170E"/>
    <w:rsid w:val="00D93724"/>
    <w:rsid w:val="00D93D8D"/>
    <w:rsid w:val="00D97759"/>
    <w:rsid w:val="00DA07CD"/>
    <w:rsid w:val="00DA11AF"/>
    <w:rsid w:val="00DA18DF"/>
    <w:rsid w:val="00DA2932"/>
    <w:rsid w:val="00DA57A7"/>
    <w:rsid w:val="00DA6F82"/>
    <w:rsid w:val="00DB0722"/>
    <w:rsid w:val="00DB0FFB"/>
    <w:rsid w:val="00DB3D6E"/>
    <w:rsid w:val="00DB4914"/>
    <w:rsid w:val="00DB5765"/>
    <w:rsid w:val="00DB6612"/>
    <w:rsid w:val="00DC0323"/>
    <w:rsid w:val="00DC1B9B"/>
    <w:rsid w:val="00DC1F45"/>
    <w:rsid w:val="00DC2F74"/>
    <w:rsid w:val="00DC3920"/>
    <w:rsid w:val="00DC41B7"/>
    <w:rsid w:val="00DC47D7"/>
    <w:rsid w:val="00DC4EE5"/>
    <w:rsid w:val="00DC5A40"/>
    <w:rsid w:val="00DC61CD"/>
    <w:rsid w:val="00DD433E"/>
    <w:rsid w:val="00DD4842"/>
    <w:rsid w:val="00DE0162"/>
    <w:rsid w:val="00DE2EDD"/>
    <w:rsid w:val="00DE5385"/>
    <w:rsid w:val="00DE5E00"/>
    <w:rsid w:val="00DE6437"/>
    <w:rsid w:val="00DF0956"/>
    <w:rsid w:val="00DF213C"/>
    <w:rsid w:val="00DF36B7"/>
    <w:rsid w:val="00DF51F4"/>
    <w:rsid w:val="00E0173F"/>
    <w:rsid w:val="00E02BBF"/>
    <w:rsid w:val="00E05366"/>
    <w:rsid w:val="00E06C16"/>
    <w:rsid w:val="00E13315"/>
    <w:rsid w:val="00E169EE"/>
    <w:rsid w:val="00E17656"/>
    <w:rsid w:val="00E236F2"/>
    <w:rsid w:val="00E237D9"/>
    <w:rsid w:val="00E23921"/>
    <w:rsid w:val="00E2715D"/>
    <w:rsid w:val="00E3176C"/>
    <w:rsid w:val="00E32966"/>
    <w:rsid w:val="00E331D3"/>
    <w:rsid w:val="00E3383F"/>
    <w:rsid w:val="00E34CAC"/>
    <w:rsid w:val="00E35097"/>
    <w:rsid w:val="00E36CD0"/>
    <w:rsid w:val="00E45EC8"/>
    <w:rsid w:val="00E464B5"/>
    <w:rsid w:val="00E46A93"/>
    <w:rsid w:val="00E50A92"/>
    <w:rsid w:val="00E50BCE"/>
    <w:rsid w:val="00E50CA5"/>
    <w:rsid w:val="00E5118F"/>
    <w:rsid w:val="00E528DB"/>
    <w:rsid w:val="00E53730"/>
    <w:rsid w:val="00E5493B"/>
    <w:rsid w:val="00E57EEC"/>
    <w:rsid w:val="00E6583F"/>
    <w:rsid w:val="00E66DF6"/>
    <w:rsid w:val="00E67529"/>
    <w:rsid w:val="00E67584"/>
    <w:rsid w:val="00E714A7"/>
    <w:rsid w:val="00E7227C"/>
    <w:rsid w:val="00E730D9"/>
    <w:rsid w:val="00E742E4"/>
    <w:rsid w:val="00E74839"/>
    <w:rsid w:val="00E76E69"/>
    <w:rsid w:val="00E8096A"/>
    <w:rsid w:val="00E81C51"/>
    <w:rsid w:val="00E86265"/>
    <w:rsid w:val="00E920D8"/>
    <w:rsid w:val="00E927A7"/>
    <w:rsid w:val="00E94748"/>
    <w:rsid w:val="00E95CBC"/>
    <w:rsid w:val="00E967C3"/>
    <w:rsid w:val="00EA047B"/>
    <w:rsid w:val="00EA23F3"/>
    <w:rsid w:val="00EA25A1"/>
    <w:rsid w:val="00EA52B8"/>
    <w:rsid w:val="00EA5EC0"/>
    <w:rsid w:val="00EA654E"/>
    <w:rsid w:val="00EA6F3B"/>
    <w:rsid w:val="00EB10BA"/>
    <w:rsid w:val="00EB3119"/>
    <w:rsid w:val="00EB72B6"/>
    <w:rsid w:val="00EC0980"/>
    <w:rsid w:val="00EC1784"/>
    <w:rsid w:val="00EC20BE"/>
    <w:rsid w:val="00EC408D"/>
    <w:rsid w:val="00EC7008"/>
    <w:rsid w:val="00EC7386"/>
    <w:rsid w:val="00EC77E7"/>
    <w:rsid w:val="00ED270F"/>
    <w:rsid w:val="00ED3376"/>
    <w:rsid w:val="00EE0610"/>
    <w:rsid w:val="00EE2F19"/>
    <w:rsid w:val="00EE35A1"/>
    <w:rsid w:val="00EE370A"/>
    <w:rsid w:val="00EE7105"/>
    <w:rsid w:val="00EF29C9"/>
    <w:rsid w:val="00EF31DA"/>
    <w:rsid w:val="00EF4C30"/>
    <w:rsid w:val="00EF5035"/>
    <w:rsid w:val="00EF6470"/>
    <w:rsid w:val="00EF68FF"/>
    <w:rsid w:val="00EF7676"/>
    <w:rsid w:val="00F00265"/>
    <w:rsid w:val="00F00EF9"/>
    <w:rsid w:val="00F013FB"/>
    <w:rsid w:val="00F03B5D"/>
    <w:rsid w:val="00F16D3A"/>
    <w:rsid w:val="00F22FBC"/>
    <w:rsid w:val="00F25802"/>
    <w:rsid w:val="00F27284"/>
    <w:rsid w:val="00F27AF8"/>
    <w:rsid w:val="00F3000F"/>
    <w:rsid w:val="00F33DBE"/>
    <w:rsid w:val="00F35028"/>
    <w:rsid w:val="00F35EF8"/>
    <w:rsid w:val="00F42D5E"/>
    <w:rsid w:val="00F52C7E"/>
    <w:rsid w:val="00F5318F"/>
    <w:rsid w:val="00F53F39"/>
    <w:rsid w:val="00F54AA7"/>
    <w:rsid w:val="00F557E4"/>
    <w:rsid w:val="00F56DFF"/>
    <w:rsid w:val="00F610F5"/>
    <w:rsid w:val="00F61BE6"/>
    <w:rsid w:val="00F61CE0"/>
    <w:rsid w:val="00F63538"/>
    <w:rsid w:val="00F64292"/>
    <w:rsid w:val="00F678CC"/>
    <w:rsid w:val="00F67E64"/>
    <w:rsid w:val="00F70190"/>
    <w:rsid w:val="00F711F9"/>
    <w:rsid w:val="00F71440"/>
    <w:rsid w:val="00F71B28"/>
    <w:rsid w:val="00F7755A"/>
    <w:rsid w:val="00F7769F"/>
    <w:rsid w:val="00F82B09"/>
    <w:rsid w:val="00F83AB7"/>
    <w:rsid w:val="00F84149"/>
    <w:rsid w:val="00F8435A"/>
    <w:rsid w:val="00F8522E"/>
    <w:rsid w:val="00F932F7"/>
    <w:rsid w:val="00FA1E36"/>
    <w:rsid w:val="00FA74BF"/>
    <w:rsid w:val="00FB2E30"/>
    <w:rsid w:val="00FB3009"/>
    <w:rsid w:val="00FB4327"/>
    <w:rsid w:val="00FB7C67"/>
    <w:rsid w:val="00FC13B5"/>
    <w:rsid w:val="00FC3A8B"/>
    <w:rsid w:val="00FC5ECE"/>
    <w:rsid w:val="00FC5F2E"/>
    <w:rsid w:val="00FD023E"/>
    <w:rsid w:val="00FD1B10"/>
    <w:rsid w:val="00FD45D3"/>
    <w:rsid w:val="00FD5240"/>
    <w:rsid w:val="00FD5980"/>
    <w:rsid w:val="00FD5C6F"/>
    <w:rsid w:val="00FD7E6E"/>
    <w:rsid w:val="00FE1D92"/>
    <w:rsid w:val="00FE2B54"/>
    <w:rsid w:val="00FE3AC7"/>
    <w:rsid w:val="00FE42B0"/>
    <w:rsid w:val="00FE6CC9"/>
    <w:rsid w:val="00FE6E76"/>
    <w:rsid w:val="00FE6FEC"/>
    <w:rsid w:val="00FE7C99"/>
    <w:rsid w:val="00FF06BD"/>
    <w:rsid w:val="00FF2875"/>
    <w:rsid w:val="00FF37D5"/>
    <w:rsid w:val="00FF45A6"/>
    <w:rsid w:val="09DC5085"/>
    <w:rsid w:val="497D8DF5"/>
    <w:rsid w:val="5AA4C2E7"/>
    <w:rsid w:val="6491022F"/>
    <w:rsid w:val="7F7F4E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B27558"/>
  <w15:chartTrackingRefBased/>
  <w15:docId w15:val="{4A8D2789-6840-4921-9F29-6B291E69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2B8"/>
    <w:pPr>
      <w:spacing w:after="120"/>
      <w:jc w:val="both"/>
    </w:pPr>
    <w:rPr>
      <w:rFonts w:ascii="Arial" w:hAnsi="Arial" w:cs="Arial"/>
      <w:sz w:val="22"/>
    </w:rPr>
  </w:style>
  <w:style w:type="paragraph" w:styleId="Titre1">
    <w:name w:val="heading 1"/>
    <w:basedOn w:val="Normal"/>
    <w:next w:val="Normal"/>
    <w:autoRedefine/>
    <w:qFormat/>
    <w:rsid w:val="00FE7C99"/>
    <w:pPr>
      <w:keepNext/>
      <w:numPr>
        <w:numId w:val="1"/>
      </w:numPr>
      <w:spacing w:before="480"/>
      <w:outlineLvl w:val="0"/>
    </w:pPr>
    <w:rPr>
      <w:rFonts w:cstheme="minorHAnsi"/>
      <w:b/>
      <w:bCs/>
      <w:caps/>
      <w:color w:val="538135" w:themeColor="accent6" w:themeShade="BF"/>
      <w:kern w:val="32"/>
      <w:sz w:val="28"/>
      <w:szCs w:val="28"/>
    </w:rPr>
  </w:style>
  <w:style w:type="paragraph" w:styleId="Titre2">
    <w:name w:val="heading 2"/>
    <w:basedOn w:val="Normal"/>
    <w:next w:val="Normal"/>
    <w:autoRedefine/>
    <w:qFormat/>
    <w:rsid w:val="00B86737"/>
    <w:pPr>
      <w:keepNext/>
      <w:numPr>
        <w:ilvl w:val="1"/>
        <w:numId w:val="1"/>
      </w:numPr>
      <w:spacing w:before="240" w:line="264" w:lineRule="auto"/>
      <w:outlineLvl w:val="1"/>
    </w:pPr>
    <w:rPr>
      <w:rFonts w:cstheme="minorHAnsi"/>
      <w:b/>
      <w:bCs/>
      <w:iCs/>
      <w:smallCaps/>
      <w:color w:val="538135" w:themeColor="accent6" w:themeShade="BF"/>
      <w:szCs w:val="28"/>
    </w:rPr>
  </w:style>
  <w:style w:type="paragraph" w:styleId="Titre3">
    <w:name w:val="heading 3"/>
    <w:basedOn w:val="Normal"/>
    <w:next w:val="Normal"/>
    <w:qFormat/>
    <w:rsid w:val="00F61CE0"/>
    <w:pPr>
      <w:keepNext/>
      <w:numPr>
        <w:ilvl w:val="2"/>
        <w:numId w:val="1"/>
      </w:numPr>
      <w:spacing w:before="240" w:after="60"/>
      <w:outlineLvl w:val="2"/>
    </w:pPr>
    <w:rPr>
      <w:i/>
      <w:iCs/>
      <w:color w:val="538135" w:themeColor="accent6" w:themeShade="BF"/>
      <w:szCs w:val="26"/>
    </w:rPr>
  </w:style>
  <w:style w:type="paragraph" w:styleId="Titre4">
    <w:name w:val="heading 4"/>
    <w:basedOn w:val="Normal"/>
    <w:next w:val="Normal"/>
    <w:qFormat/>
    <w:rsid w:val="00A57B57"/>
    <w:pPr>
      <w:keepNext/>
      <w:numPr>
        <w:ilvl w:val="3"/>
        <w:numId w:val="1"/>
      </w:numPr>
      <w:spacing w:before="240" w:after="60"/>
      <w:outlineLvl w:val="3"/>
    </w:pPr>
    <w:rPr>
      <w:rFonts w:cs="Times New Roman"/>
      <w:b/>
      <w:bCs/>
      <w:szCs w:val="22"/>
    </w:rPr>
  </w:style>
  <w:style w:type="paragraph" w:styleId="Titre5">
    <w:name w:val="heading 5"/>
    <w:basedOn w:val="Normal"/>
    <w:next w:val="Normal"/>
    <w:qFormat/>
    <w:rsid w:val="00081911"/>
    <w:pPr>
      <w:numPr>
        <w:ilvl w:val="4"/>
        <w:numId w:val="1"/>
      </w:numPr>
      <w:spacing w:before="240" w:after="60"/>
      <w:outlineLvl w:val="4"/>
    </w:pPr>
    <w:rPr>
      <w:b/>
      <w:bCs/>
      <w:i/>
      <w:iCs/>
      <w:sz w:val="26"/>
      <w:szCs w:val="26"/>
    </w:rPr>
  </w:style>
  <w:style w:type="paragraph" w:styleId="Titre6">
    <w:name w:val="heading 6"/>
    <w:basedOn w:val="Normal"/>
    <w:next w:val="Normal"/>
    <w:qFormat/>
    <w:rsid w:val="00081911"/>
    <w:pPr>
      <w:numPr>
        <w:ilvl w:val="5"/>
        <w:numId w:val="1"/>
      </w:numPr>
      <w:spacing w:before="240" w:after="60"/>
      <w:outlineLvl w:val="5"/>
    </w:pPr>
    <w:rPr>
      <w:rFonts w:ascii="Times New Roman" w:hAnsi="Times New Roman" w:cs="Times New Roman"/>
      <w:b/>
      <w:bCs/>
      <w:szCs w:val="22"/>
    </w:rPr>
  </w:style>
  <w:style w:type="paragraph" w:styleId="Titre7">
    <w:name w:val="heading 7"/>
    <w:basedOn w:val="Normal"/>
    <w:next w:val="Normal"/>
    <w:qFormat/>
    <w:rsid w:val="00081911"/>
    <w:pPr>
      <w:numPr>
        <w:ilvl w:val="6"/>
        <w:numId w:val="1"/>
      </w:numPr>
      <w:spacing w:before="240" w:after="60"/>
      <w:outlineLvl w:val="6"/>
    </w:pPr>
    <w:rPr>
      <w:rFonts w:ascii="Times New Roman" w:hAnsi="Times New Roman" w:cs="Times New Roman"/>
      <w:sz w:val="24"/>
      <w:szCs w:val="24"/>
    </w:rPr>
  </w:style>
  <w:style w:type="paragraph" w:styleId="Titre8">
    <w:name w:val="heading 8"/>
    <w:basedOn w:val="Normal"/>
    <w:next w:val="Normal"/>
    <w:qFormat/>
    <w:rsid w:val="00081911"/>
    <w:pPr>
      <w:numPr>
        <w:ilvl w:val="7"/>
        <w:numId w:val="1"/>
      </w:numPr>
      <w:spacing w:before="240" w:after="60"/>
      <w:outlineLvl w:val="7"/>
    </w:pPr>
    <w:rPr>
      <w:rFonts w:ascii="Times New Roman" w:hAnsi="Times New Roman" w:cs="Times New Roman"/>
      <w:i/>
      <w:iCs/>
      <w:sz w:val="24"/>
      <w:szCs w:val="24"/>
    </w:rPr>
  </w:style>
  <w:style w:type="paragraph" w:styleId="Titre9">
    <w:name w:val="heading 9"/>
    <w:basedOn w:val="Normal"/>
    <w:next w:val="Normal"/>
    <w:qFormat/>
    <w:rsid w:val="00081911"/>
    <w:pPr>
      <w:numPr>
        <w:ilvl w:val="8"/>
        <w:numId w:val="1"/>
      </w:numPr>
      <w:spacing w:before="240" w:after="60"/>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C6FEA"/>
    <w:pPr>
      <w:tabs>
        <w:tab w:val="center" w:pos="4536"/>
        <w:tab w:val="right" w:pos="9072"/>
      </w:tabs>
    </w:pPr>
  </w:style>
  <w:style w:type="paragraph" w:styleId="Pieddepage">
    <w:name w:val="footer"/>
    <w:basedOn w:val="Normal"/>
    <w:rsid w:val="001C6FEA"/>
    <w:pPr>
      <w:tabs>
        <w:tab w:val="center" w:pos="4536"/>
        <w:tab w:val="right" w:pos="9072"/>
      </w:tabs>
    </w:pPr>
  </w:style>
  <w:style w:type="paragraph" w:styleId="Retraitcorpsdetexte2">
    <w:name w:val="Body Text Indent 2"/>
    <w:basedOn w:val="Normal"/>
    <w:rsid w:val="001C6FEA"/>
    <w:pPr>
      <w:spacing w:before="2520"/>
      <w:ind w:left="6237"/>
    </w:pPr>
    <w:rPr>
      <w:sz w:val="16"/>
      <w:szCs w:val="16"/>
    </w:rPr>
  </w:style>
  <w:style w:type="table" w:styleId="Grilledutableau">
    <w:name w:val="Table Grid"/>
    <w:basedOn w:val="TableauNormal"/>
    <w:rsid w:val="0093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017A6F"/>
  </w:style>
  <w:style w:type="paragraph" w:styleId="TM1">
    <w:name w:val="toc 1"/>
    <w:basedOn w:val="Normal"/>
    <w:next w:val="Normal"/>
    <w:autoRedefine/>
    <w:uiPriority w:val="39"/>
    <w:rsid w:val="00BB7C50"/>
    <w:pPr>
      <w:tabs>
        <w:tab w:val="right" w:leader="dot" w:pos="9060"/>
      </w:tabs>
      <w:spacing w:before="20" w:after="60"/>
    </w:pPr>
    <w:rPr>
      <w:rFonts w:cs="Times New Roman"/>
      <w:b/>
      <w:bCs/>
      <w:caps/>
      <w:szCs w:val="24"/>
    </w:rPr>
  </w:style>
  <w:style w:type="paragraph" w:styleId="TM2">
    <w:name w:val="toc 2"/>
    <w:basedOn w:val="Normal"/>
    <w:next w:val="Normal"/>
    <w:autoRedefine/>
    <w:uiPriority w:val="39"/>
    <w:rsid w:val="00D2786D"/>
    <w:pPr>
      <w:spacing w:before="60"/>
    </w:pPr>
    <w:rPr>
      <w:rFonts w:cs="Times New Roman"/>
      <w:iCs/>
      <w:sz w:val="20"/>
      <w:szCs w:val="24"/>
    </w:rPr>
  </w:style>
  <w:style w:type="paragraph" w:styleId="TM3">
    <w:name w:val="toc 3"/>
    <w:basedOn w:val="Normal"/>
    <w:next w:val="Normal"/>
    <w:autoRedefine/>
    <w:uiPriority w:val="39"/>
    <w:rsid w:val="00D2786D"/>
    <w:pPr>
      <w:ind w:left="400"/>
    </w:pPr>
    <w:rPr>
      <w:rFonts w:cs="Times New Roman"/>
      <w:sz w:val="20"/>
      <w:szCs w:val="24"/>
    </w:rPr>
  </w:style>
  <w:style w:type="paragraph" w:styleId="TM4">
    <w:name w:val="toc 4"/>
    <w:basedOn w:val="Normal"/>
    <w:next w:val="Normal"/>
    <w:autoRedefine/>
    <w:semiHidden/>
    <w:rsid w:val="00E05366"/>
    <w:pPr>
      <w:ind w:left="600"/>
    </w:pPr>
    <w:rPr>
      <w:rFonts w:ascii="Times New Roman" w:hAnsi="Times New Roman" w:cs="Times New Roman"/>
      <w:szCs w:val="24"/>
    </w:rPr>
  </w:style>
  <w:style w:type="paragraph" w:styleId="TM5">
    <w:name w:val="toc 5"/>
    <w:basedOn w:val="Normal"/>
    <w:next w:val="Normal"/>
    <w:autoRedefine/>
    <w:semiHidden/>
    <w:rsid w:val="00E05366"/>
    <w:pPr>
      <w:ind w:left="800"/>
    </w:pPr>
    <w:rPr>
      <w:rFonts w:ascii="Times New Roman" w:hAnsi="Times New Roman" w:cs="Times New Roman"/>
      <w:szCs w:val="24"/>
    </w:rPr>
  </w:style>
  <w:style w:type="paragraph" w:styleId="TM6">
    <w:name w:val="toc 6"/>
    <w:basedOn w:val="Normal"/>
    <w:next w:val="Normal"/>
    <w:autoRedefine/>
    <w:semiHidden/>
    <w:rsid w:val="00E05366"/>
    <w:pPr>
      <w:ind w:left="1000"/>
    </w:pPr>
    <w:rPr>
      <w:rFonts w:ascii="Times New Roman" w:hAnsi="Times New Roman" w:cs="Times New Roman"/>
      <w:szCs w:val="24"/>
    </w:rPr>
  </w:style>
  <w:style w:type="paragraph" w:styleId="TM7">
    <w:name w:val="toc 7"/>
    <w:basedOn w:val="Normal"/>
    <w:next w:val="Normal"/>
    <w:autoRedefine/>
    <w:semiHidden/>
    <w:rsid w:val="00E05366"/>
    <w:pPr>
      <w:ind w:left="1200"/>
    </w:pPr>
    <w:rPr>
      <w:rFonts w:ascii="Times New Roman" w:hAnsi="Times New Roman" w:cs="Times New Roman"/>
      <w:szCs w:val="24"/>
    </w:rPr>
  </w:style>
  <w:style w:type="paragraph" w:styleId="TM8">
    <w:name w:val="toc 8"/>
    <w:basedOn w:val="Normal"/>
    <w:next w:val="Normal"/>
    <w:autoRedefine/>
    <w:semiHidden/>
    <w:rsid w:val="00E05366"/>
    <w:pPr>
      <w:ind w:left="1400"/>
    </w:pPr>
    <w:rPr>
      <w:rFonts w:ascii="Times New Roman" w:hAnsi="Times New Roman" w:cs="Times New Roman"/>
      <w:szCs w:val="24"/>
    </w:rPr>
  </w:style>
  <w:style w:type="paragraph" w:styleId="TM9">
    <w:name w:val="toc 9"/>
    <w:basedOn w:val="Normal"/>
    <w:next w:val="Normal"/>
    <w:autoRedefine/>
    <w:semiHidden/>
    <w:rsid w:val="00E05366"/>
    <w:pPr>
      <w:ind w:left="1600"/>
    </w:pPr>
    <w:rPr>
      <w:rFonts w:ascii="Times New Roman" w:hAnsi="Times New Roman" w:cs="Times New Roman"/>
      <w:szCs w:val="24"/>
    </w:rPr>
  </w:style>
  <w:style w:type="character" w:styleId="Lienhypertexte">
    <w:name w:val="Hyperlink"/>
    <w:uiPriority w:val="99"/>
    <w:rsid w:val="00FC5ECE"/>
    <w:rPr>
      <w:color w:val="0000FF"/>
      <w:u w:val="single"/>
    </w:rPr>
  </w:style>
  <w:style w:type="paragraph" w:styleId="Textedebulles">
    <w:name w:val="Balloon Text"/>
    <w:basedOn w:val="Normal"/>
    <w:semiHidden/>
    <w:rsid w:val="00A23703"/>
    <w:rPr>
      <w:rFonts w:ascii="Tahoma" w:hAnsi="Tahoma" w:cs="Tahoma"/>
      <w:sz w:val="16"/>
      <w:szCs w:val="16"/>
    </w:rPr>
  </w:style>
  <w:style w:type="paragraph" w:styleId="Retraitcorpsdetexte">
    <w:name w:val="Body Text Indent"/>
    <w:basedOn w:val="Normal"/>
    <w:link w:val="RetraitcorpsdetexteCar"/>
    <w:rsid w:val="009C3D2D"/>
    <w:pPr>
      <w:ind w:left="283"/>
    </w:pPr>
  </w:style>
  <w:style w:type="paragraph" w:styleId="Corpsdetexte">
    <w:name w:val="Body Text"/>
    <w:basedOn w:val="Normal"/>
    <w:link w:val="CorpsdetexteCar"/>
    <w:rsid w:val="009C3D2D"/>
  </w:style>
  <w:style w:type="paragraph" w:styleId="Corpsdetexte3">
    <w:name w:val="Body Text 3"/>
    <w:basedOn w:val="Normal"/>
    <w:rsid w:val="009C3D2D"/>
    <w:rPr>
      <w:sz w:val="16"/>
      <w:szCs w:val="16"/>
    </w:rPr>
  </w:style>
  <w:style w:type="paragraph" w:styleId="Notedebasdepage">
    <w:name w:val="footnote text"/>
    <w:basedOn w:val="Normal"/>
    <w:semiHidden/>
    <w:rsid w:val="00EA52B8"/>
    <w:rPr>
      <w:rFonts w:cs="Times New Roman"/>
      <w:sz w:val="18"/>
    </w:rPr>
  </w:style>
  <w:style w:type="character" w:styleId="Appelnotedebasdep">
    <w:name w:val="footnote reference"/>
    <w:semiHidden/>
    <w:rsid w:val="009C3D2D"/>
    <w:rPr>
      <w:vertAlign w:val="superscript"/>
    </w:rPr>
  </w:style>
  <w:style w:type="paragraph" w:styleId="Retraitcorpsdetexte3">
    <w:name w:val="Body Text Indent 3"/>
    <w:basedOn w:val="Normal"/>
    <w:rsid w:val="009C3D2D"/>
    <w:pPr>
      <w:ind w:left="283"/>
    </w:pPr>
    <w:rPr>
      <w:sz w:val="16"/>
      <w:szCs w:val="16"/>
    </w:rPr>
  </w:style>
  <w:style w:type="paragraph" w:styleId="Explorateurdedocuments">
    <w:name w:val="Document Map"/>
    <w:basedOn w:val="Normal"/>
    <w:link w:val="ExplorateurdedocumentsCar"/>
    <w:rsid w:val="007953CB"/>
    <w:rPr>
      <w:rFonts w:ascii="Tahoma" w:hAnsi="Tahoma" w:cs="Tahoma"/>
      <w:sz w:val="16"/>
      <w:szCs w:val="16"/>
    </w:rPr>
  </w:style>
  <w:style w:type="character" w:customStyle="1" w:styleId="ExplorateurdedocumentsCar">
    <w:name w:val="Explorateur de documents Car"/>
    <w:link w:val="Explorateurdedocuments"/>
    <w:rsid w:val="007953CB"/>
    <w:rPr>
      <w:rFonts w:ascii="Tahoma" w:hAnsi="Tahoma" w:cs="Tahoma"/>
      <w:sz w:val="16"/>
      <w:szCs w:val="16"/>
    </w:rPr>
  </w:style>
  <w:style w:type="paragraph" w:styleId="NormalWeb">
    <w:name w:val="Normal (Web)"/>
    <w:basedOn w:val="Normal"/>
    <w:uiPriority w:val="99"/>
    <w:unhideWhenUsed/>
    <w:rsid w:val="00CE798A"/>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291BE4"/>
    <w:pPr>
      <w:spacing w:after="200" w:line="276" w:lineRule="auto"/>
      <w:ind w:left="720"/>
      <w:contextualSpacing/>
      <w:jc w:val="left"/>
    </w:pPr>
    <w:rPr>
      <w:rFonts w:eastAsia="Calibri" w:cs="Times New Roman"/>
      <w:szCs w:val="22"/>
      <w:lang w:eastAsia="en-US"/>
    </w:rPr>
  </w:style>
  <w:style w:type="character" w:styleId="Mentionnonrsolue">
    <w:name w:val="Unresolved Mention"/>
    <w:basedOn w:val="Policepardfaut"/>
    <w:uiPriority w:val="99"/>
    <w:semiHidden/>
    <w:unhideWhenUsed/>
    <w:rsid w:val="00BB7818"/>
    <w:rPr>
      <w:color w:val="605E5C"/>
      <w:shd w:val="clear" w:color="auto" w:fill="E1DFDD"/>
    </w:rPr>
  </w:style>
  <w:style w:type="character" w:styleId="Lienhypertextesuivivisit">
    <w:name w:val="FollowedHyperlink"/>
    <w:basedOn w:val="Policepardfaut"/>
    <w:uiPriority w:val="99"/>
    <w:semiHidden/>
    <w:unhideWhenUsed/>
    <w:rsid w:val="00256586"/>
    <w:rPr>
      <w:color w:val="954F72" w:themeColor="followedHyperlink"/>
      <w:u w:val="single"/>
    </w:rPr>
  </w:style>
  <w:style w:type="character" w:customStyle="1" w:styleId="font121">
    <w:name w:val="font121"/>
    <w:basedOn w:val="Policepardfaut"/>
    <w:rsid w:val="00EB3119"/>
    <w:rPr>
      <w:rFonts w:ascii="Calibri" w:hAnsi="Calibri" w:cs="Calibri" w:hint="default"/>
      <w:b w:val="0"/>
      <w:bCs w:val="0"/>
      <w:i w:val="0"/>
      <w:iCs w:val="0"/>
      <w:strike w:val="0"/>
      <w:dstrike w:val="0"/>
      <w:color w:val="auto"/>
      <w:sz w:val="22"/>
      <w:szCs w:val="22"/>
      <w:u w:val="none"/>
      <w:effect w:val="none"/>
    </w:rPr>
  </w:style>
  <w:style w:type="character" w:customStyle="1" w:styleId="font01">
    <w:name w:val="font01"/>
    <w:basedOn w:val="Policepardfaut"/>
    <w:rsid w:val="00EB3119"/>
    <w:rPr>
      <w:rFonts w:ascii="Calibri" w:hAnsi="Calibri" w:cs="Calibri" w:hint="default"/>
      <w:b w:val="0"/>
      <w:bCs w:val="0"/>
      <w:i w:val="0"/>
      <w:iCs w:val="0"/>
      <w:strike w:val="0"/>
      <w:dstrike w:val="0"/>
      <w:color w:val="000000"/>
      <w:sz w:val="22"/>
      <w:szCs w:val="22"/>
      <w:u w:val="none"/>
      <w:effect w:val="none"/>
    </w:rPr>
  </w:style>
  <w:style w:type="character" w:customStyle="1" w:styleId="normaltextrun">
    <w:name w:val="normaltextrun"/>
    <w:basedOn w:val="Policepardfaut"/>
    <w:rsid w:val="00486D71"/>
  </w:style>
  <w:style w:type="character" w:customStyle="1" w:styleId="eop">
    <w:name w:val="eop"/>
    <w:basedOn w:val="Policepardfaut"/>
    <w:rsid w:val="00486D71"/>
  </w:style>
  <w:style w:type="paragraph" w:customStyle="1" w:styleId="Default">
    <w:name w:val="Default"/>
    <w:rsid w:val="00481009"/>
    <w:pPr>
      <w:autoSpaceDE w:val="0"/>
      <w:autoSpaceDN w:val="0"/>
      <w:adjustRightInd w:val="0"/>
    </w:pPr>
    <w:rPr>
      <w:rFonts w:ascii="Verdana" w:eastAsia="Calibri" w:hAnsi="Verdana" w:cs="Verdana"/>
      <w:color w:val="000000"/>
      <w:sz w:val="24"/>
      <w:szCs w:val="24"/>
    </w:rPr>
  </w:style>
  <w:style w:type="paragraph" w:styleId="Lgende">
    <w:name w:val="caption"/>
    <w:basedOn w:val="Normal"/>
    <w:next w:val="Normal"/>
    <w:uiPriority w:val="35"/>
    <w:unhideWhenUsed/>
    <w:qFormat/>
    <w:rsid w:val="008F6ABC"/>
    <w:pPr>
      <w:spacing w:after="200"/>
      <w:jc w:val="center"/>
    </w:pPr>
    <w:rPr>
      <w:i/>
      <w:iCs/>
      <w:color w:val="44546A" w:themeColor="text2"/>
      <w:sz w:val="18"/>
      <w:szCs w:val="18"/>
    </w:rPr>
  </w:style>
  <w:style w:type="paragraph" w:customStyle="1" w:styleId="tabgauchegras">
    <w:name w:val="tab_gauche_gras"/>
    <w:basedOn w:val="Normal"/>
    <w:autoRedefine/>
    <w:qFormat/>
    <w:rsid w:val="001818A0"/>
    <w:pPr>
      <w:spacing w:after="0"/>
    </w:pPr>
    <w:rPr>
      <w:b/>
    </w:rPr>
  </w:style>
  <w:style w:type="paragraph" w:customStyle="1" w:styleId="tabgauche">
    <w:name w:val="tab_gauche"/>
    <w:basedOn w:val="Normal"/>
    <w:qFormat/>
    <w:rsid w:val="001818A0"/>
    <w:pPr>
      <w:spacing w:after="0"/>
      <w:jc w:val="left"/>
    </w:pPr>
  </w:style>
  <w:style w:type="paragraph" w:customStyle="1" w:styleId="tabcentregras">
    <w:name w:val="tab_centre_gras"/>
    <w:basedOn w:val="Normal"/>
    <w:qFormat/>
    <w:rsid w:val="001818A0"/>
    <w:pPr>
      <w:spacing w:after="0"/>
      <w:jc w:val="center"/>
    </w:pPr>
    <w:rPr>
      <w:b/>
      <w:bCs/>
    </w:rPr>
  </w:style>
  <w:style w:type="paragraph" w:customStyle="1" w:styleId="tabcentre">
    <w:name w:val="tab_centre"/>
    <w:basedOn w:val="Normal"/>
    <w:qFormat/>
    <w:rsid w:val="001818A0"/>
    <w:pPr>
      <w:spacing w:after="0"/>
      <w:jc w:val="center"/>
    </w:pPr>
    <w:rPr>
      <w:bCs/>
    </w:rPr>
  </w:style>
  <w:style w:type="character" w:styleId="Accentuation">
    <w:name w:val="Emphasis"/>
    <w:basedOn w:val="Policepardfaut"/>
    <w:uiPriority w:val="20"/>
    <w:qFormat/>
    <w:rsid w:val="005620C0"/>
    <w:rPr>
      <w:i/>
      <w:iCs/>
    </w:rPr>
  </w:style>
  <w:style w:type="character" w:customStyle="1" w:styleId="CorpsdetexteCar">
    <w:name w:val="Corps de texte Car"/>
    <w:basedOn w:val="Policepardfaut"/>
    <w:link w:val="Corpsdetexte"/>
    <w:rsid w:val="005620C0"/>
    <w:rPr>
      <w:rFonts w:ascii="Arial" w:hAnsi="Arial" w:cs="Arial"/>
      <w:sz w:val="22"/>
    </w:rPr>
  </w:style>
  <w:style w:type="character" w:customStyle="1" w:styleId="RetraitcorpsdetexteCar">
    <w:name w:val="Retrait corps de texte Car"/>
    <w:basedOn w:val="Policepardfaut"/>
    <w:link w:val="Retraitcorpsdetexte"/>
    <w:rsid w:val="005620C0"/>
    <w:rPr>
      <w:rFonts w:ascii="Arial" w:hAnsi="Arial" w:cs="Arial"/>
      <w:sz w:val="22"/>
    </w:rPr>
  </w:style>
  <w:style w:type="character" w:styleId="Accentuationlgre">
    <w:name w:val="Subtle Emphasis"/>
    <w:basedOn w:val="Policepardfaut"/>
    <w:uiPriority w:val="19"/>
    <w:qFormat/>
    <w:rsid w:val="005620C0"/>
    <w:rPr>
      <w:i/>
      <w:iCs/>
      <w:color w:val="404040" w:themeColor="text1" w:themeTint="BF"/>
      <w:sz w:val="20"/>
    </w:rPr>
  </w:style>
  <w:style w:type="character" w:styleId="Marquedecommentaire">
    <w:name w:val="annotation reference"/>
    <w:basedOn w:val="Policepardfaut"/>
    <w:uiPriority w:val="99"/>
    <w:semiHidden/>
    <w:unhideWhenUsed/>
    <w:rsid w:val="00EF31DA"/>
    <w:rPr>
      <w:sz w:val="16"/>
      <w:szCs w:val="16"/>
    </w:rPr>
  </w:style>
  <w:style w:type="paragraph" w:styleId="Commentaire">
    <w:name w:val="annotation text"/>
    <w:basedOn w:val="Normal"/>
    <w:link w:val="CommentaireCar"/>
    <w:uiPriority w:val="99"/>
    <w:semiHidden/>
    <w:unhideWhenUsed/>
    <w:rsid w:val="00EF31DA"/>
    <w:rPr>
      <w:sz w:val="20"/>
    </w:rPr>
  </w:style>
  <w:style w:type="character" w:customStyle="1" w:styleId="CommentaireCar">
    <w:name w:val="Commentaire Car"/>
    <w:basedOn w:val="Policepardfaut"/>
    <w:link w:val="Commentaire"/>
    <w:uiPriority w:val="99"/>
    <w:semiHidden/>
    <w:rsid w:val="00EF31DA"/>
    <w:rPr>
      <w:rFonts w:ascii="Arial" w:hAnsi="Arial" w:cs="Arial"/>
    </w:rPr>
  </w:style>
  <w:style w:type="paragraph" w:styleId="Objetducommentaire">
    <w:name w:val="annotation subject"/>
    <w:basedOn w:val="Commentaire"/>
    <w:next w:val="Commentaire"/>
    <w:link w:val="ObjetducommentaireCar"/>
    <w:uiPriority w:val="99"/>
    <w:semiHidden/>
    <w:unhideWhenUsed/>
    <w:rsid w:val="00EF31DA"/>
    <w:rPr>
      <w:b/>
      <w:bCs/>
    </w:rPr>
  </w:style>
  <w:style w:type="character" w:customStyle="1" w:styleId="ObjetducommentaireCar">
    <w:name w:val="Objet du commentaire Car"/>
    <w:basedOn w:val="CommentaireCar"/>
    <w:link w:val="Objetducommentaire"/>
    <w:uiPriority w:val="99"/>
    <w:semiHidden/>
    <w:rsid w:val="00EF31D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07618">
      <w:bodyDiv w:val="1"/>
      <w:marLeft w:val="0"/>
      <w:marRight w:val="0"/>
      <w:marTop w:val="0"/>
      <w:marBottom w:val="0"/>
      <w:divBdr>
        <w:top w:val="none" w:sz="0" w:space="0" w:color="auto"/>
        <w:left w:val="none" w:sz="0" w:space="0" w:color="auto"/>
        <w:bottom w:val="none" w:sz="0" w:space="0" w:color="auto"/>
        <w:right w:val="none" w:sz="0" w:space="0" w:color="auto"/>
      </w:divBdr>
    </w:div>
    <w:div w:id="347831328">
      <w:bodyDiv w:val="1"/>
      <w:marLeft w:val="0"/>
      <w:marRight w:val="0"/>
      <w:marTop w:val="0"/>
      <w:marBottom w:val="0"/>
      <w:divBdr>
        <w:top w:val="none" w:sz="0" w:space="0" w:color="auto"/>
        <w:left w:val="none" w:sz="0" w:space="0" w:color="auto"/>
        <w:bottom w:val="none" w:sz="0" w:space="0" w:color="auto"/>
        <w:right w:val="none" w:sz="0" w:space="0" w:color="auto"/>
      </w:divBdr>
      <w:divsChild>
        <w:div w:id="2017223814">
          <w:marLeft w:val="1022"/>
          <w:marRight w:val="0"/>
          <w:marTop w:val="0"/>
          <w:marBottom w:val="0"/>
          <w:divBdr>
            <w:top w:val="none" w:sz="0" w:space="0" w:color="auto"/>
            <w:left w:val="none" w:sz="0" w:space="0" w:color="auto"/>
            <w:bottom w:val="none" w:sz="0" w:space="0" w:color="auto"/>
            <w:right w:val="none" w:sz="0" w:space="0" w:color="auto"/>
          </w:divBdr>
        </w:div>
        <w:div w:id="528644989">
          <w:marLeft w:val="1584"/>
          <w:marRight w:val="0"/>
          <w:marTop w:val="0"/>
          <w:marBottom w:val="0"/>
          <w:divBdr>
            <w:top w:val="none" w:sz="0" w:space="0" w:color="auto"/>
            <w:left w:val="none" w:sz="0" w:space="0" w:color="auto"/>
            <w:bottom w:val="none" w:sz="0" w:space="0" w:color="auto"/>
            <w:right w:val="none" w:sz="0" w:space="0" w:color="auto"/>
          </w:divBdr>
        </w:div>
        <w:div w:id="1783259200">
          <w:marLeft w:val="1584"/>
          <w:marRight w:val="0"/>
          <w:marTop w:val="0"/>
          <w:marBottom w:val="0"/>
          <w:divBdr>
            <w:top w:val="none" w:sz="0" w:space="0" w:color="auto"/>
            <w:left w:val="none" w:sz="0" w:space="0" w:color="auto"/>
            <w:bottom w:val="none" w:sz="0" w:space="0" w:color="auto"/>
            <w:right w:val="none" w:sz="0" w:space="0" w:color="auto"/>
          </w:divBdr>
        </w:div>
        <w:div w:id="1025906021">
          <w:marLeft w:val="2261"/>
          <w:marRight w:val="0"/>
          <w:marTop w:val="0"/>
          <w:marBottom w:val="0"/>
          <w:divBdr>
            <w:top w:val="none" w:sz="0" w:space="0" w:color="auto"/>
            <w:left w:val="none" w:sz="0" w:space="0" w:color="auto"/>
            <w:bottom w:val="none" w:sz="0" w:space="0" w:color="auto"/>
            <w:right w:val="none" w:sz="0" w:space="0" w:color="auto"/>
          </w:divBdr>
        </w:div>
        <w:div w:id="1128010576">
          <w:marLeft w:val="2261"/>
          <w:marRight w:val="0"/>
          <w:marTop w:val="0"/>
          <w:marBottom w:val="0"/>
          <w:divBdr>
            <w:top w:val="none" w:sz="0" w:space="0" w:color="auto"/>
            <w:left w:val="none" w:sz="0" w:space="0" w:color="auto"/>
            <w:bottom w:val="none" w:sz="0" w:space="0" w:color="auto"/>
            <w:right w:val="none" w:sz="0" w:space="0" w:color="auto"/>
          </w:divBdr>
        </w:div>
        <w:div w:id="565729926">
          <w:marLeft w:val="1584"/>
          <w:marRight w:val="0"/>
          <w:marTop w:val="0"/>
          <w:marBottom w:val="0"/>
          <w:divBdr>
            <w:top w:val="none" w:sz="0" w:space="0" w:color="auto"/>
            <w:left w:val="none" w:sz="0" w:space="0" w:color="auto"/>
            <w:bottom w:val="none" w:sz="0" w:space="0" w:color="auto"/>
            <w:right w:val="none" w:sz="0" w:space="0" w:color="auto"/>
          </w:divBdr>
        </w:div>
        <w:div w:id="766080213">
          <w:marLeft w:val="1022"/>
          <w:marRight w:val="0"/>
          <w:marTop w:val="0"/>
          <w:marBottom w:val="0"/>
          <w:divBdr>
            <w:top w:val="none" w:sz="0" w:space="0" w:color="auto"/>
            <w:left w:val="none" w:sz="0" w:space="0" w:color="auto"/>
            <w:bottom w:val="none" w:sz="0" w:space="0" w:color="auto"/>
            <w:right w:val="none" w:sz="0" w:space="0" w:color="auto"/>
          </w:divBdr>
        </w:div>
        <w:div w:id="1448433064">
          <w:marLeft w:val="1584"/>
          <w:marRight w:val="0"/>
          <w:marTop w:val="0"/>
          <w:marBottom w:val="0"/>
          <w:divBdr>
            <w:top w:val="none" w:sz="0" w:space="0" w:color="auto"/>
            <w:left w:val="none" w:sz="0" w:space="0" w:color="auto"/>
            <w:bottom w:val="none" w:sz="0" w:space="0" w:color="auto"/>
            <w:right w:val="none" w:sz="0" w:space="0" w:color="auto"/>
          </w:divBdr>
        </w:div>
        <w:div w:id="1061708569">
          <w:marLeft w:val="1584"/>
          <w:marRight w:val="0"/>
          <w:marTop w:val="0"/>
          <w:marBottom w:val="0"/>
          <w:divBdr>
            <w:top w:val="none" w:sz="0" w:space="0" w:color="auto"/>
            <w:left w:val="none" w:sz="0" w:space="0" w:color="auto"/>
            <w:bottom w:val="none" w:sz="0" w:space="0" w:color="auto"/>
            <w:right w:val="none" w:sz="0" w:space="0" w:color="auto"/>
          </w:divBdr>
        </w:div>
        <w:div w:id="994340812">
          <w:marLeft w:val="2261"/>
          <w:marRight w:val="0"/>
          <w:marTop w:val="0"/>
          <w:marBottom w:val="0"/>
          <w:divBdr>
            <w:top w:val="none" w:sz="0" w:space="0" w:color="auto"/>
            <w:left w:val="none" w:sz="0" w:space="0" w:color="auto"/>
            <w:bottom w:val="none" w:sz="0" w:space="0" w:color="auto"/>
            <w:right w:val="none" w:sz="0" w:space="0" w:color="auto"/>
          </w:divBdr>
        </w:div>
        <w:div w:id="2064325880">
          <w:marLeft w:val="2261"/>
          <w:marRight w:val="0"/>
          <w:marTop w:val="0"/>
          <w:marBottom w:val="0"/>
          <w:divBdr>
            <w:top w:val="none" w:sz="0" w:space="0" w:color="auto"/>
            <w:left w:val="none" w:sz="0" w:space="0" w:color="auto"/>
            <w:bottom w:val="none" w:sz="0" w:space="0" w:color="auto"/>
            <w:right w:val="none" w:sz="0" w:space="0" w:color="auto"/>
          </w:divBdr>
        </w:div>
        <w:div w:id="1617446764">
          <w:marLeft w:val="2261"/>
          <w:marRight w:val="0"/>
          <w:marTop w:val="0"/>
          <w:marBottom w:val="0"/>
          <w:divBdr>
            <w:top w:val="none" w:sz="0" w:space="0" w:color="auto"/>
            <w:left w:val="none" w:sz="0" w:space="0" w:color="auto"/>
            <w:bottom w:val="none" w:sz="0" w:space="0" w:color="auto"/>
            <w:right w:val="none" w:sz="0" w:space="0" w:color="auto"/>
          </w:divBdr>
        </w:div>
      </w:divsChild>
    </w:div>
    <w:div w:id="469591152">
      <w:bodyDiv w:val="1"/>
      <w:marLeft w:val="0"/>
      <w:marRight w:val="0"/>
      <w:marTop w:val="0"/>
      <w:marBottom w:val="0"/>
      <w:divBdr>
        <w:top w:val="none" w:sz="0" w:space="0" w:color="auto"/>
        <w:left w:val="none" w:sz="0" w:space="0" w:color="auto"/>
        <w:bottom w:val="none" w:sz="0" w:space="0" w:color="auto"/>
        <w:right w:val="none" w:sz="0" w:space="0" w:color="auto"/>
      </w:divBdr>
    </w:div>
    <w:div w:id="501942904">
      <w:bodyDiv w:val="1"/>
      <w:marLeft w:val="0"/>
      <w:marRight w:val="0"/>
      <w:marTop w:val="0"/>
      <w:marBottom w:val="0"/>
      <w:divBdr>
        <w:top w:val="none" w:sz="0" w:space="0" w:color="auto"/>
        <w:left w:val="none" w:sz="0" w:space="0" w:color="auto"/>
        <w:bottom w:val="none" w:sz="0" w:space="0" w:color="auto"/>
        <w:right w:val="none" w:sz="0" w:space="0" w:color="auto"/>
      </w:divBdr>
    </w:div>
    <w:div w:id="515731595">
      <w:bodyDiv w:val="1"/>
      <w:marLeft w:val="0"/>
      <w:marRight w:val="0"/>
      <w:marTop w:val="0"/>
      <w:marBottom w:val="0"/>
      <w:divBdr>
        <w:top w:val="none" w:sz="0" w:space="0" w:color="auto"/>
        <w:left w:val="none" w:sz="0" w:space="0" w:color="auto"/>
        <w:bottom w:val="none" w:sz="0" w:space="0" w:color="auto"/>
        <w:right w:val="none" w:sz="0" w:space="0" w:color="auto"/>
      </w:divBdr>
    </w:div>
    <w:div w:id="518082717">
      <w:bodyDiv w:val="1"/>
      <w:marLeft w:val="0"/>
      <w:marRight w:val="0"/>
      <w:marTop w:val="0"/>
      <w:marBottom w:val="0"/>
      <w:divBdr>
        <w:top w:val="none" w:sz="0" w:space="0" w:color="auto"/>
        <w:left w:val="none" w:sz="0" w:space="0" w:color="auto"/>
        <w:bottom w:val="none" w:sz="0" w:space="0" w:color="auto"/>
        <w:right w:val="none" w:sz="0" w:space="0" w:color="auto"/>
      </w:divBdr>
    </w:div>
    <w:div w:id="626545280">
      <w:bodyDiv w:val="1"/>
      <w:marLeft w:val="0"/>
      <w:marRight w:val="0"/>
      <w:marTop w:val="0"/>
      <w:marBottom w:val="0"/>
      <w:divBdr>
        <w:top w:val="none" w:sz="0" w:space="0" w:color="auto"/>
        <w:left w:val="none" w:sz="0" w:space="0" w:color="auto"/>
        <w:bottom w:val="none" w:sz="0" w:space="0" w:color="auto"/>
        <w:right w:val="none" w:sz="0" w:space="0" w:color="auto"/>
      </w:divBdr>
      <w:divsChild>
        <w:div w:id="930964721">
          <w:marLeft w:val="0"/>
          <w:marRight w:val="0"/>
          <w:marTop w:val="0"/>
          <w:marBottom w:val="0"/>
          <w:divBdr>
            <w:top w:val="none" w:sz="0" w:space="0" w:color="auto"/>
            <w:left w:val="none" w:sz="0" w:space="0" w:color="auto"/>
            <w:bottom w:val="none" w:sz="0" w:space="0" w:color="auto"/>
            <w:right w:val="none" w:sz="0" w:space="0" w:color="auto"/>
          </w:divBdr>
        </w:div>
      </w:divsChild>
    </w:div>
    <w:div w:id="737242590">
      <w:bodyDiv w:val="1"/>
      <w:marLeft w:val="0"/>
      <w:marRight w:val="0"/>
      <w:marTop w:val="0"/>
      <w:marBottom w:val="0"/>
      <w:divBdr>
        <w:top w:val="none" w:sz="0" w:space="0" w:color="auto"/>
        <w:left w:val="none" w:sz="0" w:space="0" w:color="auto"/>
        <w:bottom w:val="none" w:sz="0" w:space="0" w:color="auto"/>
        <w:right w:val="none" w:sz="0" w:space="0" w:color="auto"/>
      </w:divBdr>
    </w:div>
    <w:div w:id="1000154571">
      <w:bodyDiv w:val="1"/>
      <w:marLeft w:val="0"/>
      <w:marRight w:val="0"/>
      <w:marTop w:val="0"/>
      <w:marBottom w:val="0"/>
      <w:divBdr>
        <w:top w:val="none" w:sz="0" w:space="0" w:color="auto"/>
        <w:left w:val="none" w:sz="0" w:space="0" w:color="auto"/>
        <w:bottom w:val="none" w:sz="0" w:space="0" w:color="auto"/>
        <w:right w:val="none" w:sz="0" w:space="0" w:color="auto"/>
      </w:divBdr>
    </w:div>
    <w:div w:id="1007249835">
      <w:bodyDiv w:val="1"/>
      <w:marLeft w:val="0"/>
      <w:marRight w:val="0"/>
      <w:marTop w:val="0"/>
      <w:marBottom w:val="0"/>
      <w:divBdr>
        <w:top w:val="none" w:sz="0" w:space="0" w:color="auto"/>
        <w:left w:val="none" w:sz="0" w:space="0" w:color="auto"/>
        <w:bottom w:val="none" w:sz="0" w:space="0" w:color="auto"/>
        <w:right w:val="none" w:sz="0" w:space="0" w:color="auto"/>
      </w:divBdr>
    </w:div>
    <w:div w:id="1021204066">
      <w:bodyDiv w:val="1"/>
      <w:marLeft w:val="0"/>
      <w:marRight w:val="0"/>
      <w:marTop w:val="0"/>
      <w:marBottom w:val="0"/>
      <w:divBdr>
        <w:top w:val="none" w:sz="0" w:space="0" w:color="auto"/>
        <w:left w:val="none" w:sz="0" w:space="0" w:color="auto"/>
        <w:bottom w:val="none" w:sz="0" w:space="0" w:color="auto"/>
        <w:right w:val="none" w:sz="0" w:space="0" w:color="auto"/>
      </w:divBdr>
      <w:divsChild>
        <w:div w:id="1570070763">
          <w:marLeft w:val="0"/>
          <w:marRight w:val="0"/>
          <w:marTop w:val="0"/>
          <w:marBottom w:val="0"/>
          <w:divBdr>
            <w:top w:val="none" w:sz="0" w:space="0" w:color="auto"/>
            <w:left w:val="none" w:sz="0" w:space="0" w:color="auto"/>
            <w:bottom w:val="none" w:sz="0" w:space="0" w:color="auto"/>
            <w:right w:val="none" w:sz="0" w:space="0" w:color="auto"/>
          </w:divBdr>
        </w:div>
      </w:divsChild>
    </w:div>
    <w:div w:id="1036664285">
      <w:bodyDiv w:val="1"/>
      <w:marLeft w:val="0"/>
      <w:marRight w:val="0"/>
      <w:marTop w:val="0"/>
      <w:marBottom w:val="0"/>
      <w:divBdr>
        <w:top w:val="none" w:sz="0" w:space="0" w:color="auto"/>
        <w:left w:val="none" w:sz="0" w:space="0" w:color="auto"/>
        <w:bottom w:val="none" w:sz="0" w:space="0" w:color="auto"/>
        <w:right w:val="none" w:sz="0" w:space="0" w:color="auto"/>
      </w:divBdr>
      <w:divsChild>
        <w:div w:id="1176967581">
          <w:marLeft w:val="0"/>
          <w:marRight w:val="0"/>
          <w:marTop w:val="0"/>
          <w:marBottom w:val="0"/>
          <w:divBdr>
            <w:top w:val="none" w:sz="0" w:space="0" w:color="auto"/>
            <w:left w:val="none" w:sz="0" w:space="0" w:color="auto"/>
            <w:bottom w:val="none" w:sz="0" w:space="0" w:color="auto"/>
            <w:right w:val="none" w:sz="0" w:space="0" w:color="auto"/>
          </w:divBdr>
        </w:div>
      </w:divsChild>
    </w:div>
    <w:div w:id="1102148964">
      <w:bodyDiv w:val="1"/>
      <w:marLeft w:val="0"/>
      <w:marRight w:val="0"/>
      <w:marTop w:val="0"/>
      <w:marBottom w:val="0"/>
      <w:divBdr>
        <w:top w:val="none" w:sz="0" w:space="0" w:color="auto"/>
        <w:left w:val="none" w:sz="0" w:space="0" w:color="auto"/>
        <w:bottom w:val="none" w:sz="0" w:space="0" w:color="auto"/>
        <w:right w:val="none" w:sz="0" w:space="0" w:color="auto"/>
      </w:divBdr>
      <w:divsChild>
        <w:div w:id="1353649972">
          <w:marLeft w:val="547"/>
          <w:marRight w:val="0"/>
          <w:marTop w:val="0"/>
          <w:marBottom w:val="136"/>
          <w:divBdr>
            <w:top w:val="none" w:sz="0" w:space="0" w:color="auto"/>
            <w:left w:val="none" w:sz="0" w:space="0" w:color="auto"/>
            <w:bottom w:val="none" w:sz="0" w:space="0" w:color="auto"/>
            <w:right w:val="none" w:sz="0" w:space="0" w:color="auto"/>
          </w:divBdr>
        </w:div>
      </w:divsChild>
    </w:div>
    <w:div w:id="1263762709">
      <w:bodyDiv w:val="1"/>
      <w:marLeft w:val="0"/>
      <w:marRight w:val="0"/>
      <w:marTop w:val="0"/>
      <w:marBottom w:val="0"/>
      <w:divBdr>
        <w:top w:val="none" w:sz="0" w:space="0" w:color="auto"/>
        <w:left w:val="none" w:sz="0" w:space="0" w:color="auto"/>
        <w:bottom w:val="none" w:sz="0" w:space="0" w:color="auto"/>
        <w:right w:val="none" w:sz="0" w:space="0" w:color="auto"/>
      </w:divBdr>
    </w:div>
    <w:div w:id="1278215238">
      <w:bodyDiv w:val="1"/>
      <w:marLeft w:val="0"/>
      <w:marRight w:val="0"/>
      <w:marTop w:val="0"/>
      <w:marBottom w:val="0"/>
      <w:divBdr>
        <w:top w:val="none" w:sz="0" w:space="0" w:color="auto"/>
        <w:left w:val="none" w:sz="0" w:space="0" w:color="auto"/>
        <w:bottom w:val="none" w:sz="0" w:space="0" w:color="auto"/>
        <w:right w:val="none" w:sz="0" w:space="0" w:color="auto"/>
      </w:divBdr>
    </w:div>
    <w:div w:id="1297371615">
      <w:bodyDiv w:val="1"/>
      <w:marLeft w:val="0"/>
      <w:marRight w:val="0"/>
      <w:marTop w:val="0"/>
      <w:marBottom w:val="0"/>
      <w:divBdr>
        <w:top w:val="none" w:sz="0" w:space="0" w:color="auto"/>
        <w:left w:val="none" w:sz="0" w:space="0" w:color="auto"/>
        <w:bottom w:val="none" w:sz="0" w:space="0" w:color="auto"/>
        <w:right w:val="none" w:sz="0" w:space="0" w:color="auto"/>
      </w:divBdr>
      <w:divsChild>
        <w:div w:id="453136685">
          <w:marLeft w:val="0"/>
          <w:marRight w:val="0"/>
          <w:marTop w:val="0"/>
          <w:marBottom w:val="0"/>
          <w:divBdr>
            <w:top w:val="none" w:sz="0" w:space="0" w:color="auto"/>
            <w:left w:val="none" w:sz="0" w:space="0" w:color="auto"/>
            <w:bottom w:val="none" w:sz="0" w:space="0" w:color="auto"/>
            <w:right w:val="none" w:sz="0" w:space="0" w:color="auto"/>
          </w:divBdr>
        </w:div>
      </w:divsChild>
    </w:div>
    <w:div w:id="1443962837">
      <w:bodyDiv w:val="1"/>
      <w:marLeft w:val="0"/>
      <w:marRight w:val="0"/>
      <w:marTop w:val="0"/>
      <w:marBottom w:val="0"/>
      <w:divBdr>
        <w:top w:val="none" w:sz="0" w:space="0" w:color="auto"/>
        <w:left w:val="none" w:sz="0" w:space="0" w:color="auto"/>
        <w:bottom w:val="none" w:sz="0" w:space="0" w:color="auto"/>
        <w:right w:val="none" w:sz="0" w:space="0" w:color="auto"/>
      </w:divBdr>
      <w:divsChild>
        <w:div w:id="958338212">
          <w:marLeft w:val="547"/>
          <w:marRight w:val="0"/>
          <w:marTop w:val="0"/>
          <w:marBottom w:val="136"/>
          <w:divBdr>
            <w:top w:val="none" w:sz="0" w:space="0" w:color="auto"/>
            <w:left w:val="none" w:sz="0" w:space="0" w:color="auto"/>
            <w:bottom w:val="none" w:sz="0" w:space="0" w:color="auto"/>
            <w:right w:val="none" w:sz="0" w:space="0" w:color="auto"/>
          </w:divBdr>
        </w:div>
        <w:div w:id="530608421">
          <w:marLeft w:val="1022"/>
          <w:marRight w:val="0"/>
          <w:marTop w:val="0"/>
          <w:marBottom w:val="0"/>
          <w:divBdr>
            <w:top w:val="none" w:sz="0" w:space="0" w:color="auto"/>
            <w:left w:val="none" w:sz="0" w:space="0" w:color="auto"/>
            <w:bottom w:val="none" w:sz="0" w:space="0" w:color="auto"/>
            <w:right w:val="none" w:sz="0" w:space="0" w:color="auto"/>
          </w:divBdr>
        </w:div>
        <w:div w:id="1482968267">
          <w:marLeft w:val="1022"/>
          <w:marRight w:val="0"/>
          <w:marTop w:val="0"/>
          <w:marBottom w:val="0"/>
          <w:divBdr>
            <w:top w:val="none" w:sz="0" w:space="0" w:color="auto"/>
            <w:left w:val="none" w:sz="0" w:space="0" w:color="auto"/>
            <w:bottom w:val="none" w:sz="0" w:space="0" w:color="auto"/>
            <w:right w:val="none" w:sz="0" w:space="0" w:color="auto"/>
          </w:divBdr>
        </w:div>
        <w:div w:id="2053263533">
          <w:marLeft w:val="1022"/>
          <w:marRight w:val="0"/>
          <w:marTop w:val="0"/>
          <w:marBottom w:val="0"/>
          <w:divBdr>
            <w:top w:val="none" w:sz="0" w:space="0" w:color="auto"/>
            <w:left w:val="none" w:sz="0" w:space="0" w:color="auto"/>
            <w:bottom w:val="none" w:sz="0" w:space="0" w:color="auto"/>
            <w:right w:val="none" w:sz="0" w:space="0" w:color="auto"/>
          </w:divBdr>
        </w:div>
        <w:div w:id="1534608867">
          <w:marLeft w:val="1022"/>
          <w:marRight w:val="0"/>
          <w:marTop w:val="0"/>
          <w:marBottom w:val="0"/>
          <w:divBdr>
            <w:top w:val="none" w:sz="0" w:space="0" w:color="auto"/>
            <w:left w:val="none" w:sz="0" w:space="0" w:color="auto"/>
            <w:bottom w:val="none" w:sz="0" w:space="0" w:color="auto"/>
            <w:right w:val="none" w:sz="0" w:space="0" w:color="auto"/>
          </w:divBdr>
        </w:div>
        <w:div w:id="1616519136">
          <w:marLeft w:val="547"/>
          <w:marRight w:val="0"/>
          <w:marTop w:val="0"/>
          <w:marBottom w:val="136"/>
          <w:divBdr>
            <w:top w:val="none" w:sz="0" w:space="0" w:color="auto"/>
            <w:left w:val="none" w:sz="0" w:space="0" w:color="auto"/>
            <w:bottom w:val="none" w:sz="0" w:space="0" w:color="auto"/>
            <w:right w:val="none" w:sz="0" w:space="0" w:color="auto"/>
          </w:divBdr>
        </w:div>
        <w:div w:id="1402291858">
          <w:marLeft w:val="1022"/>
          <w:marRight w:val="0"/>
          <w:marTop w:val="0"/>
          <w:marBottom w:val="0"/>
          <w:divBdr>
            <w:top w:val="none" w:sz="0" w:space="0" w:color="auto"/>
            <w:left w:val="none" w:sz="0" w:space="0" w:color="auto"/>
            <w:bottom w:val="none" w:sz="0" w:space="0" w:color="auto"/>
            <w:right w:val="none" w:sz="0" w:space="0" w:color="auto"/>
          </w:divBdr>
        </w:div>
        <w:div w:id="193540004">
          <w:marLeft w:val="1022"/>
          <w:marRight w:val="0"/>
          <w:marTop w:val="0"/>
          <w:marBottom w:val="0"/>
          <w:divBdr>
            <w:top w:val="none" w:sz="0" w:space="0" w:color="auto"/>
            <w:left w:val="none" w:sz="0" w:space="0" w:color="auto"/>
            <w:bottom w:val="none" w:sz="0" w:space="0" w:color="auto"/>
            <w:right w:val="none" w:sz="0" w:space="0" w:color="auto"/>
          </w:divBdr>
        </w:div>
        <w:div w:id="1768500068">
          <w:marLeft w:val="1022"/>
          <w:marRight w:val="0"/>
          <w:marTop w:val="0"/>
          <w:marBottom w:val="0"/>
          <w:divBdr>
            <w:top w:val="none" w:sz="0" w:space="0" w:color="auto"/>
            <w:left w:val="none" w:sz="0" w:space="0" w:color="auto"/>
            <w:bottom w:val="none" w:sz="0" w:space="0" w:color="auto"/>
            <w:right w:val="none" w:sz="0" w:space="0" w:color="auto"/>
          </w:divBdr>
        </w:div>
        <w:div w:id="1833790620">
          <w:marLeft w:val="1022"/>
          <w:marRight w:val="0"/>
          <w:marTop w:val="0"/>
          <w:marBottom w:val="0"/>
          <w:divBdr>
            <w:top w:val="none" w:sz="0" w:space="0" w:color="auto"/>
            <w:left w:val="none" w:sz="0" w:space="0" w:color="auto"/>
            <w:bottom w:val="none" w:sz="0" w:space="0" w:color="auto"/>
            <w:right w:val="none" w:sz="0" w:space="0" w:color="auto"/>
          </w:divBdr>
        </w:div>
      </w:divsChild>
    </w:div>
    <w:div w:id="1745643302">
      <w:bodyDiv w:val="1"/>
      <w:marLeft w:val="0"/>
      <w:marRight w:val="0"/>
      <w:marTop w:val="0"/>
      <w:marBottom w:val="0"/>
      <w:divBdr>
        <w:top w:val="none" w:sz="0" w:space="0" w:color="auto"/>
        <w:left w:val="none" w:sz="0" w:space="0" w:color="auto"/>
        <w:bottom w:val="none" w:sz="0" w:space="0" w:color="auto"/>
        <w:right w:val="none" w:sz="0" w:space="0" w:color="auto"/>
      </w:divBdr>
    </w:div>
    <w:div w:id="1817643867">
      <w:bodyDiv w:val="1"/>
      <w:marLeft w:val="0"/>
      <w:marRight w:val="0"/>
      <w:marTop w:val="0"/>
      <w:marBottom w:val="0"/>
      <w:divBdr>
        <w:top w:val="none" w:sz="0" w:space="0" w:color="auto"/>
        <w:left w:val="none" w:sz="0" w:space="0" w:color="auto"/>
        <w:bottom w:val="none" w:sz="0" w:space="0" w:color="auto"/>
        <w:right w:val="none" w:sz="0" w:space="0" w:color="auto"/>
      </w:divBdr>
      <w:divsChild>
        <w:div w:id="1909874244">
          <w:marLeft w:val="0"/>
          <w:marRight w:val="0"/>
          <w:marTop w:val="0"/>
          <w:marBottom w:val="0"/>
          <w:divBdr>
            <w:top w:val="none" w:sz="0" w:space="0" w:color="auto"/>
            <w:left w:val="none" w:sz="0" w:space="0" w:color="auto"/>
            <w:bottom w:val="none" w:sz="0" w:space="0" w:color="auto"/>
            <w:right w:val="none" w:sz="0" w:space="0" w:color="auto"/>
          </w:divBdr>
        </w:div>
      </w:divsChild>
    </w:div>
    <w:div w:id="1917393326">
      <w:bodyDiv w:val="1"/>
      <w:marLeft w:val="0"/>
      <w:marRight w:val="0"/>
      <w:marTop w:val="0"/>
      <w:marBottom w:val="0"/>
      <w:divBdr>
        <w:top w:val="none" w:sz="0" w:space="0" w:color="auto"/>
        <w:left w:val="none" w:sz="0" w:space="0" w:color="auto"/>
        <w:bottom w:val="none" w:sz="0" w:space="0" w:color="auto"/>
        <w:right w:val="none" w:sz="0" w:space="0" w:color="auto"/>
      </w:divBdr>
    </w:div>
    <w:div w:id="2069569352">
      <w:bodyDiv w:val="1"/>
      <w:marLeft w:val="0"/>
      <w:marRight w:val="0"/>
      <w:marTop w:val="0"/>
      <w:marBottom w:val="0"/>
      <w:divBdr>
        <w:top w:val="none" w:sz="0" w:space="0" w:color="auto"/>
        <w:left w:val="none" w:sz="0" w:space="0" w:color="auto"/>
        <w:bottom w:val="none" w:sz="0" w:space="0" w:color="auto"/>
        <w:right w:val="none" w:sz="0" w:space="0" w:color="auto"/>
      </w:divBdr>
    </w:div>
    <w:div w:id="212252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who.int/iris/handle/10665/345329"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43a8444-0fb8-4a30-99bc-13ce970789cc">
      <Terms xmlns="http://schemas.microsoft.com/office/infopath/2007/PartnerControls"/>
    </lcf76f155ced4ddcb4097134ff3c332f>
    <TaxCatchAll xmlns="880edb4c-39fc-4b3c-85c0-e39784fac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E50BBA78999B4B949DC9C77A9FFF76" ma:contentTypeVersion="19" ma:contentTypeDescription="Crée un document." ma:contentTypeScope="" ma:versionID="f39e8e1911fdc3f2fef54a26dff8f7ee">
  <xsd:schema xmlns:xsd="http://www.w3.org/2001/XMLSchema" xmlns:xs="http://www.w3.org/2001/XMLSchema" xmlns:p="http://schemas.microsoft.com/office/2006/metadata/properties" xmlns:ns2="c43a8444-0fb8-4a30-99bc-13ce970789cc" xmlns:ns3="880edb4c-39fc-4b3c-85c0-e39784facca7" targetNamespace="http://schemas.microsoft.com/office/2006/metadata/properties" ma:root="true" ma:fieldsID="a8c570f1a647d3c571d69d1b8517f524" ns2:_="" ns3:_="">
    <xsd:import namespace="c43a8444-0fb8-4a30-99bc-13ce970789cc"/>
    <xsd:import namespace="880edb4c-39fc-4b3c-85c0-e39784facc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8444-0fb8-4a30-99bc-13ce97078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083176a-d13d-47e2-b7d3-828792fcfc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0edb4c-39fc-4b3c-85c0-e39784facca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3a551373-e6f4-4586-888e-5d895469b05c}" ma:internalName="TaxCatchAll" ma:showField="CatchAllData" ma:web="880edb4c-39fc-4b3c-85c0-e39784facc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A694-D1EA-46C7-92F4-D41E021E1D0D}">
  <ds:schemaRefs>
    <ds:schemaRef ds:uri="http://purl.org/dc/elements/1.1/"/>
    <ds:schemaRef ds:uri="http://schemas.microsoft.com/office/2006/metadata/properties"/>
    <ds:schemaRef ds:uri="c43a8444-0fb8-4a30-99bc-13ce970789cc"/>
    <ds:schemaRef ds:uri="880edb4c-39fc-4b3c-85c0-e39784facca7"/>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348013F-DE24-46C1-A89A-AE875E6E4775}">
  <ds:schemaRefs>
    <ds:schemaRef ds:uri="http://schemas.microsoft.com/sharepoint/v3/contenttype/forms"/>
  </ds:schemaRefs>
</ds:datastoreItem>
</file>

<file path=customXml/itemProps3.xml><?xml version="1.0" encoding="utf-8"?>
<ds:datastoreItem xmlns:ds="http://schemas.openxmlformats.org/officeDocument/2006/customXml" ds:itemID="{374FC472-A7D2-40CD-9718-AC7A3979B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a8444-0fb8-4a30-99bc-13ce970789cc"/>
    <ds:schemaRef ds:uri="880edb4c-39fc-4b3c-85c0-e39784fac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0E2C53-49AA-4568-B425-AD4196D7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1511</Words>
  <Characters>8634</Characters>
  <Application>Microsoft Office Word</Application>
  <DocSecurity>0</DocSecurity>
  <Lines>71</Lines>
  <Paragraphs>20</Paragraphs>
  <ScaleCrop>false</ScaleCrop>
  <Company>CSTB</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DROUILLOT</dc:creator>
  <cp:keywords/>
  <cp:lastModifiedBy>DERBEZ Mickael</cp:lastModifiedBy>
  <cp:revision>12</cp:revision>
  <cp:lastPrinted>2022-10-18T14:53:00Z</cp:lastPrinted>
  <dcterms:created xsi:type="dcterms:W3CDTF">2022-11-18T04:21:00Z</dcterms:created>
  <dcterms:modified xsi:type="dcterms:W3CDTF">2022-11-19T11:14:00Z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0x010100E8E50BBA78999B4B949DC9C77A9FFF76</vt:lpwstr>
  </property>
  <property fmtid="{D5CDD505-2E9C-101B-9397-08002B2CF9AE}" pid="3" name="MediaServiceImageTags">
    <vt:lpwstr/>
  </property>
</Properties>
</file>